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FF" w:rsidRPr="00CB3EFB" w:rsidRDefault="009024F4">
      <w:pPr>
        <w:pStyle w:val="Title"/>
        <w:rPr>
          <w:rFonts w:ascii="Times New Roman" w:hAnsi="Times New Roman"/>
          <w:b w:val="0"/>
          <w:sz w:val="56"/>
        </w:rPr>
      </w:pPr>
      <w:r w:rsidRPr="00CB3EFB">
        <w:rPr>
          <w:rFonts w:ascii="Times New Roman" w:hAnsi="Times New Roman"/>
          <w:b w:val="0"/>
          <w:sz w:val="56"/>
        </w:rPr>
        <w:t>AAS Space Flight Mechanics</w:t>
      </w:r>
    </w:p>
    <w:p w:rsidR="00487EFF" w:rsidRPr="00CB3EFB" w:rsidRDefault="009024F4">
      <w:pPr>
        <w:pStyle w:val="Title"/>
        <w:rPr>
          <w:rFonts w:ascii="Times New Roman" w:hAnsi="Times New Roman"/>
          <w:b w:val="0"/>
          <w:sz w:val="56"/>
        </w:rPr>
      </w:pPr>
      <w:r w:rsidRPr="00CB3EFB">
        <w:rPr>
          <w:rFonts w:ascii="Times New Roman" w:hAnsi="Times New Roman"/>
          <w:b w:val="0"/>
          <w:sz w:val="56"/>
        </w:rPr>
        <w:t>Committee</w:t>
      </w:r>
    </w:p>
    <w:p w:rsidR="00487EFF" w:rsidRPr="00CB3EFB" w:rsidRDefault="009024F4">
      <w:pPr>
        <w:pStyle w:val="Title"/>
        <w:rPr>
          <w:rFonts w:ascii="Times New Roman" w:hAnsi="Times New Roman"/>
          <w:b w:val="0"/>
          <w:sz w:val="56"/>
        </w:rPr>
      </w:pPr>
      <w:r w:rsidRPr="00CB3EFB">
        <w:rPr>
          <w:rFonts w:ascii="Times New Roman" w:hAnsi="Times New Roman"/>
          <w:b w:val="0"/>
          <w:sz w:val="56"/>
        </w:rPr>
        <w:t>Policies and Procedures</w:t>
      </w:r>
    </w:p>
    <w:p w:rsidR="00487EFF" w:rsidRDefault="009024F4">
      <w:pPr>
        <w:pStyle w:val="Title"/>
        <w:rPr>
          <w:rFonts w:ascii="Times New Roman" w:hAnsi="Times New Roman"/>
          <w:sz w:val="56"/>
        </w:rPr>
      </w:pPr>
      <w:r w:rsidRPr="00CB3EFB">
        <w:rPr>
          <w:rFonts w:ascii="Times New Roman" w:hAnsi="Times New Roman"/>
          <w:b w:val="0"/>
          <w:sz w:val="56"/>
        </w:rPr>
        <w:t>Manual</w:t>
      </w:r>
    </w:p>
    <w:p w:rsidR="00487EFF" w:rsidRDefault="00487EFF">
      <w:pPr>
        <w:pStyle w:val="Title"/>
        <w:rPr>
          <w:rFonts w:ascii="Times New Roman" w:hAnsi="Times New Roman"/>
          <w:sz w:val="72"/>
        </w:rPr>
      </w:pPr>
    </w:p>
    <w:p w:rsidR="00487EFF" w:rsidRDefault="00487EFF">
      <w:pPr>
        <w:pStyle w:val="Title"/>
        <w:rPr>
          <w:rFonts w:ascii="Times New Roman" w:hAnsi="Times New Roman"/>
        </w:rPr>
      </w:pPr>
    </w:p>
    <w:p w:rsidR="00487EFF" w:rsidRDefault="00FA5E31">
      <w:pPr>
        <w:pStyle w:val="Title"/>
        <w:framePr w:w="8640" w:h="4248" w:hSpace="180" w:wrap="auto" w:vAnchor="text" w:hAnchor="text"/>
        <w:rPr>
          <w:rFonts w:ascii="Times New Roman" w:hAnsi="Times New Roman"/>
        </w:rPr>
      </w:pPr>
      <w:r>
        <w:rPr>
          <w:rFonts w:ascii="Times New Roman" w:hAnsi="Times New Roman"/>
          <w:noProof/>
          <w:sz w:val="20"/>
        </w:rPr>
        <w:drawing>
          <wp:inline distT="0" distB="0" distL="0" distR="0">
            <wp:extent cx="5486400" cy="2695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2695575"/>
                    </a:xfrm>
                    <a:prstGeom prst="rect">
                      <a:avLst/>
                    </a:prstGeom>
                    <a:noFill/>
                    <a:ln w="9525">
                      <a:noFill/>
                      <a:miter lim="800000"/>
                      <a:headEnd/>
                      <a:tailEnd/>
                    </a:ln>
                  </pic:spPr>
                </pic:pic>
              </a:graphicData>
            </a:graphic>
          </wp:inline>
        </w:drawing>
      </w:r>
    </w:p>
    <w:p w:rsidR="00487EFF" w:rsidRDefault="00487EFF">
      <w:pPr>
        <w:pStyle w:val="Title"/>
        <w:rPr>
          <w:rFonts w:ascii="Times New Roman" w:hAnsi="Times New Roman"/>
          <w:sz w:val="72"/>
        </w:rPr>
      </w:pPr>
    </w:p>
    <w:p w:rsidR="00487EFF" w:rsidRDefault="00487EFF">
      <w:pPr>
        <w:pStyle w:val="Title"/>
        <w:jc w:val="left"/>
        <w:rPr>
          <w:rFonts w:ascii="Times New Roman" w:hAnsi="Times New Roman"/>
          <w:sz w:val="72"/>
        </w:rPr>
      </w:pPr>
    </w:p>
    <w:p w:rsidR="00487EFF" w:rsidRPr="00CB3EFB" w:rsidRDefault="00CB3EFB">
      <w:pPr>
        <w:jc w:val="center"/>
        <w:rPr>
          <w:rFonts w:ascii="Times New Roman" w:hAnsi="Times New Roman"/>
        </w:rPr>
      </w:pPr>
      <w:r>
        <w:rPr>
          <w:rFonts w:ascii="Times New Roman" w:hAnsi="Times New Roman"/>
          <w:sz w:val="48"/>
        </w:rPr>
        <w:t xml:space="preserve">Version </w:t>
      </w:r>
      <w:r w:rsidR="008F102F">
        <w:rPr>
          <w:rFonts w:ascii="Times New Roman" w:hAnsi="Times New Roman"/>
          <w:sz w:val="48"/>
        </w:rPr>
        <w:t>4</w:t>
      </w:r>
      <w:r w:rsidR="009024F4" w:rsidRPr="00CB3EFB">
        <w:rPr>
          <w:rFonts w:ascii="Times New Roman" w:hAnsi="Times New Roman"/>
          <w:sz w:val="48"/>
        </w:rPr>
        <w:t xml:space="preserve">.0 </w:t>
      </w:r>
      <w:r>
        <w:rPr>
          <w:rFonts w:ascii="Times New Roman" w:hAnsi="Times New Roman"/>
          <w:sz w:val="48"/>
        </w:rPr>
        <w:t>–</w:t>
      </w:r>
      <w:r w:rsidR="009024F4" w:rsidRPr="00CB3EFB">
        <w:rPr>
          <w:rFonts w:ascii="Times New Roman" w:hAnsi="Times New Roman"/>
          <w:sz w:val="48"/>
        </w:rPr>
        <w:t xml:space="preserve"> </w:t>
      </w:r>
      <w:r w:rsidR="00B739F7">
        <w:rPr>
          <w:rFonts w:ascii="Times New Roman" w:hAnsi="Times New Roman"/>
          <w:sz w:val="48"/>
        </w:rPr>
        <w:t>March 201</w:t>
      </w:r>
      <w:r w:rsidR="008F102F">
        <w:rPr>
          <w:rFonts w:ascii="Times New Roman" w:hAnsi="Times New Roman"/>
          <w:sz w:val="48"/>
        </w:rPr>
        <w:t>1</w:t>
      </w:r>
    </w:p>
    <w:p w:rsidR="004D3603" w:rsidRPr="004D3603" w:rsidRDefault="009024F4" w:rsidP="004D3603">
      <w:pPr>
        <w:jc w:val="center"/>
      </w:pPr>
      <w:r>
        <w:rPr>
          <w:b/>
        </w:rPr>
        <w:br w:type="page"/>
      </w:r>
      <w:r w:rsidR="004D3603" w:rsidRPr="004D3603">
        <w:rPr>
          <w:sz w:val="32"/>
        </w:rPr>
        <w:lastRenderedPageBreak/>
        <w:t>Revision History</w:t>
      </w:r>
    </w:p>
    <w:p w:rsidR="004D3603" w:rsidRDefault="004D3603" w:rsidP="004D360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260"/>
        <w:gridCol w:w="6588"/>
      </w:tblGrid>
      <w:tr w:rsidR="004D3603" w:rsidTr="006F4FF1">
        <w:tc>
          <w:tcPr>
            <w:tcW w:w="1008" w:type="dxa"/>
            <w:shd w:val="clear" w:color="auto" w:fill="B6DDE8"/>
          </w:tcPr>
          <w:p w:rsidR="004D3603" w:rsidRDefault="004D3603" w:rsidP="006F4FF1">
            <w:pPr>
              <w:jc w:val="both"/>
            </w:pPr>
            <w:r>
              <w:t>Version</w:t>
            </w:r>
          </w:p>
        </w:tc>
        <w:tc>
          <w:tcPr>
            <w:tcW w:w="1260" w:type="dxa"/>
            <w:shd w:val="clear" w:color="auto" w:fill="B6DDE8"/>
          </w:tcPr>
          <w:p w:rsidR="004D3603" w:rsidRDefault="004D3603" w:rsidP="006F4FF1">
            <w:pPr>
              <w:jc w:val="both"/>
            </w:pPr>
            <w:r>
              <w:t>Date</w:t>
            </w:r>
          </w:p>
        </w:tc>
        <w:tc>
          <w:tcPr>
            <w:tcW w:w="6588" w:type="dxa"/>
            <w:shd w:val="clear" w:color="auto" w:fill="B6DDE8"/>
          </w:tcPr>
          <w:p w:rsidR="004D3603" w:rsidRDefault="00CB3EFB" w:rsidP="006F4FF1">
            <w:pPr>
              <w:jc w:val="both"/>
            </w:pPr>
            <w:r>
              <w:t>Comments</w:t>
            </w:r>
          </w:p>
        </w:tc>
      </w:tr>
      <w:tr w:rsidR="004D3603" w:rsidTr="006F4FF1">
        <w:tc>
          <w:tcPr>
            <w:tcW w:w="1008" w:type="dxa"/>
          </w:tcPr>
          <w:p w:rsidR="004D3603" w:rsidRDefault="00096C4E" w:rsidP="006F4FF1">
            <w:pPr>
              <w:jc w:val="both"/>
            </w:pPr>
            <w:r>
              <w:t>--</w:t>
            </w:r>
          </w:p>
        </w:tc>
        <w:tc>
          <w:tcPr>
            <w:tcW w:w="1260" w:type="dxa"/>
          </w:tcPr>
          <w:p w:rsidR="004D3603" w:rsidRDefault="00CB3EFB" w:rsidP="006F4FF1">
            <w:pPr>
              <w:jc w:val="both"/>
            </w:pPr>
            <w:r>
              <w:t>Sept 2000</w:t>
            </w:r>
          </w:p>
        </w:tc>
        <w:tc>
          <w:tcPr>
            <w:tcW w:w="6588" w:type="dxa"/>
          </w:tcPr>
          <w:p w:rsidR="004D3603" w:rsidRDefault="00CB3EFB" w:rsidP="006F4FF1">
            <w:pPr>
              <w:jc w:val="both"/>
            </w:pPr>
            <w:r>
              <w:t>First known documentation</w:t>
            </w:r>
          </w:p>
        </w:tc>
      </w:tr>
      <w:tr w:rsidR="00096C4E" w:rsidTr="006F4FF1">
        <w:tc>
          <w:tcPr>
            <w:tcW w:w="1008" w:type="dxa"/>
          </w:tcPr>
          <w:p w:rsidR="00096C4E" w:rsidRDefault="00096C4E" w:rsidP="006F4FF1">
            <w:pPr>
              <w:jc w:val="both"/>
            </w:pPr>
            <w:r>
              <w:t>1.0</w:t>
            </w:r>
          </w:p>
        </w:tc>
        <w:tc>
          <w:tcPr>
            <w:tcW w:w="1260" w:type="dxa"/>
          </w:tcPr>
          <w:p w:rsidR="00096C4E" w:rsidRDefault="00096C4E" w:rsidP="006F4FF1">
            <w:pPr>
              <w:jc w:val="both"/>
            </w:pPr>
            <w:r>
              <w:t>Mar 2006</w:t>
            </w:r>
          </w:p>
        </w:tc>
        <w:tc>
          <w:tcPr>
            <w:tcW w:w="6588" w:type="dxa"/>
          </w:tcPr>
          <w:p w:rsidR="00096C4E" w:rsidRDefault="00096C4E" w:rsidP="006F4FF1">
            <w:pPr>
              <w:jc w:val="both"/>
            </w:pPr>
            <w:r>
              <w:t>Added AAS logo and version number.  Added details of procedures for member nomination and specified timing of nomination, rotation on,</w:t>
            </w:r>
            <w:r w:rsidR="009007C3">
              <w:t xml:space="preserve"> and off of C</w:t>
            </w:r>
            <w:r>
              <w:t>ommittee.  Provided Chair with a procedure to equalize the number of members rotating in any given year.</w:t>
            </w:r>
          </w:p>
        </w:tc>
      </w:tr>
      <w:tr w:rsidR="00096C4E" w:rsidTr="006F4FF1">
        <w:tc>
          <w:tcPr>
            <w:tcW w:w="1008" w:type="dxa"/>
          </w:tcPr>
          <w:p w:rsidR="00096C4E" w:rsidRDefault="00096C4E" w:rsidP="006F4FF1">
            <w:pPr>
              <w:jc w:val="both"/>
            </w:pPr>
            <w:r>
              <w:t>2.0</w:t>
            </w:r>
          </w:p>
        </w:tc>
        <w:tc>
          <w:tcPr>
            <w:tcW w:w="1260" w:type="dxa"/>
          </w:tcPr>
          <w:p w:rsidR="00096C4E" w:rsidRDefault="00096C4E" w:rsidP="006F4FF1">
            <w:pPr>
              <w:jc w:val="both"/>
            </w:pPr>
            <w:r>
              <w:t>Oct 2009</w:t>
            </w:r>
          </w:p>
        </w:tc>
        <w:tc>
          <w:tcPr>
            <w:tcW w:w="6588" w:type="dxa"/>
          </w:tcPr>
          <w:p w:rsidR="00096C4E" w:rsidRDefault="00B21E4E" w:rsidP="006D50E7">
            <w:pPr>
              <w:jc w:val="both"/>
            </w:pPr>
            <w:r>
              <w:t>Added historian as elected officer.  Added CAS, TAS, and WAS</w:t>
            </w:r>
            <w:r w:rsidR="00096C4E">
              <w:t xml:space="preserve"> subcommittees</w:t>
            </w:r>
            <w:r w:rsidR="00995720">
              <w:t>.  Described roles of these subcommittees and added required participation.</w:t>
            </w:r>
            <w:r w:rsidR="006D50E7">
              <w:t xml:space="preserve">  Corrected some details on Best Paper procedures.</w:t>
            </w:r>
          </w:p>
        </w:tc>
      </w:tr>
      <w:tr w:rsidR="00096C4E" w:rsidTr="006F4FF1">
        <w:tc>
          <w:tcPr>
            <w:tcW w:w="1008" w:type="dxa"/>
          </w:tcPr>
          <w:p w:rsidR="00096C4E" w:rsidRDefault="000E46FF" w:rsidP="006F4FF1">
            <w:pPr>
              <w:jc w:val="both"/>
            </w:pPr>
            <w:r>
              <w:t>3.0</w:t>
            </w:r>
          </w:p>
        </w:tc>
        <w:tc>
          <w:tcPr>
            <w:tcW w:w="1260" w:type="dxa"/>
          </w:tcPr>
          <w:p w:rsidR="00096C4E" w:rsidRDefault="000E46FF" w:rsidP="006F4FF1">
            <w:pPr>
              <w:jc w:val="both"/>
            </w:pPr>
            <w:r>
              <w:t>Mar 2010</w:t>
            </w:r>
          </w:p>
        </w:tc>
        <w:tc>
          <w:tcPr>
            <w:tcW w:w="6588" w:type="dxa"/>
          </w:tcPr>
          <w:p w:rsidR="00096C4E" w:rsidRDefault="000E46FF" w:rsidP="000E46FF">
            <w:pPr>
              <w:jc w:val="both"/>
            </w:pPr>
            <w:r>
              <w:t>Added policy for Short Course offerings and Honorary Symposia</w:t>
            </w:r>
            <w:r w:rsidR="00FA5E31">
              <w:t>.</w:t>
            </w:r>
          </w:p>
        </w:tc>
      </w:tr>
      <w:tr w:rsidR="00096C4E" w:rsidTr="006F4FF1">
        <w:tc>
          <w:tcPr>
            <w:tcW w:w="1008" w:type="dxa"/>
          </w:tcPr>
          <w:p w:rsidR="00096C4E" w:rsidRDefault="008F102F" w:rsidP="006F4FF1">
            <w:pPr>
              <w:jc w:val="both"/>
            </w:pPr>
            <w:r>
              <w:t>4.0</w:t>
            </w:r>
          </w:p>
        </w:tc>
        <w:tc>
          <w:tcPr>
            <w:tcW w:w="1260" w:type="dxa"/>
          </w:tcPr>
          <w:p w:rsidR="00096C4E" w:rsidRDefault="008F102F" w:rsidP="006F4FF1">
            <w:pPr>
              <w:jc w:val="both"/>
            </w:pPr>
            <w:r>
              <w:t>Mar 2011</w:t>
            </w:r>
          </w:p>
        </w:tc>
        <w:tc>
          <w:tcPr>
            <w:tcW w:w="6588" w:type="dxa"/>
          </w:tcPr>
          <w:p w:rsidR="00813701" w:rsidRDefault="008F102F" w:rsidP="008F102F">
            <w:pPr>
              <w:jc w:val="both"/>
            </w:pPr>
            <w:r>
              <w:t>Added policy for escrow fund for recurring fixed conference expenses and allocations.</w:t>
            </w:r>
            <w:r w:rsidR="006A026F">
              <w:t xml:space="preserve">  </w:t>
            </w:r>
            <w:r>
              <w:t>Modified Breakwell award parameters.</w:t>
            </w:r>
            <w:r w:rsidR="006A026F">
              <w:t xml:space="preserve">  </w:t>
            </w:r>
            <w:r w:rsidR="00813701">
              <w:t>Provided more details on Brouwer award.</w:t>
            </w:r>
          </w:p>
        </w:tc>
      </w:tr>
    </w:tbl>
    <w:p w:rsidR="00096C4E" w:rsidRDefault="00096C4E" w:rsidP="004D3603">
      <w:pPr>
        <w:jc w:val="both"/>
        <w:rPr>
          <w:b/>
        </w:rPr>
      </w:pPr>
    </w:p>
    <w:p w:rsidR="00096C4E" w:rsidRDefault="00096C4E" w:rsidP="004D3603">
      <w:pPr>
        <w:jc w:val="both"/>
        <w:rPr>
          <w:b/>
        </w:rPr>
      </w:pPr>
    </w:p>
    <w:p w:rsidR="00487EFF" w:rsidRPr="00437993" w:rsidRDefault="004D3603" w:rsidP="00437993">
      <w:pPr>
        <w:jc w:val="center"/>
        <w:rPr>
          <w:sz w:val="36"/>
          <w:szCs w:val="36"/>
        </w:rPr>
      </w:pPr>
      <w:r>
        <w:rPr>
          <w:b/>
        </w:rPr>
        <w:br w:type="page"/>
      </w:r>
      <w:r w:rsidR="009024F4" w:rsidRPr="00437993">
        <w:rPr>
          <w:sz w:val="36"/>
          <w:szCs w:val="36"/>
        </w:rPr>
        <w:lastRenderedPageBreak/>
        <w:t>AAS Space Flight Mechanics Committee</w:t>
      </w:r>
    </w:p>
    <w:p w:rsidR="00487EFF" w:rsidRPr="00437993" w:rsidRDefault="009024F4" w:rsidP="00437993">
      <w:pPr>
        <w:jc w:val="center"/>
        <w:rPr>
          <w:sz w:val="36"/>
          <w:szCs w:val="36"/>
        </w:rPr>
      </w:pPr>
      <w:r w:rsidRPr="00437993">
        <w:rPr>
          <w:sz w:val="36"/>
          <w:szCs w:val="36"/>
        </w:rPr>
        <w:t>Policies and Procedures Manual</w:t>
      </w:r>
    </w:p>
    <w:p w:rsidR="00487EFF" w:rsidRDefault="00487EFF">
      <w:pPr>
        <w:jc w:val="center"/>
        <w:rPr>
          <w:b/>
        </w:rPr>
      </w:pPr>
    </w:p>
    <w:p w:rsidR="00487EFF" w:rsidRDefault="009024F4">
      <w:pPr>
        <w:rPr>
          <w:b/>
        </w:rPr>
      </w:pPr>
      <w:r>
        <w:rPr>
          <w:b/>
        </w:rPr>
        <w:t>I.</w:t>
      </w:r>
      <w:r>
        <w:rPr>
          <w:b/>
        </w:rPr>
        <w:tab/>
        <w:t>Introduction</w:t>
      </w:r>
    </w:p>
    <w:p w:rsidR="00487EFF" w:rsidRDefault="00487EFF"/>
    <w:p w:rsidR="00487EFF" w:rsidRDefault="009024F4">
      <w:pPr>
        <w:jc w:val="both"/>
      </w:pPr>
      <w:r>
        <w:t>The Bylaws to the Constitution for the AAS provides for the appointment of special committees such as the Space Flight Mechanics Committee</w:t>
      </w:r>
      <w:r w:rsidR="00437993">
        <w:t xml:space="preserve"> (hereinafter called the Committee)</w:t>
      </w:r>
      <w:r>
        <w:t>.</w:t>
      </w:r>
    </w:p>
    <w:p w:rsidR="00487EFF" w:rsidRDefault="00487EFF">
      <w:pPr>
        <w:jc w:val="both"/>
      </w:pPr>
    </w:p>
    <w:p w:rsidR="00487EFF" w:rsidRDefault="009024F4">
      <w:pPr>
        <w:jc w:val="both"/>
      </w:pPr>
      <w:r>
        <w:t>The primary purposes of the Committee are to:</w:t>
      </w:r>
    </w:p>
    <w:p w:rsidR="00437993" w:rsidRDefault="00437993">
      <w:pPr>
        <w:jc w:val="both"/>
      </w:pPr>
    </w:p>
    <w:p w:rsidR="00487EFF" w:rsidRDefault="005D3556" w:rsidP="005D3556">
      <w:pPr>
        <w:pStyle w:val="ListParagraph"/>
        <w:numPr>
          <w:ilvl w:val="0"/>
          <w:numId w:val="8"/>
        </w:numPr>
        <w:jc w:val="both"/>
      </w:pPr>
      <w:r>
        <w:t>Org</w:t>
      </w:r>
      <w:r w:rsidR="009024F4">
        <w:t xml:space="preserve">anize </w:t>
      </w:r>
      <w:r w:rsidR="00437993">
        <w:t xml:space="preserve">and conduct </w:t>
      </w:r>
      <w:r w:rsidR="009024F4">
        <w:t>two conferences per year,</w:t>
      </w:r>
      <w:r>
        <w:t xml:space="preserve"> the AAS/AIAA Astrodynamics Spec</w:t>
      </w:r>
      <w:r w:rsidR="009024F4">
        <w:t xml:space="preserve">ialist Conference </w:t>
      </w:r>
      <w:r w:rsidR="00437993">
        <w:t xml:space="preserve">(summer) </w:t>
      </w:r>
      <w:r w:rsidR="009024F4">
        <w:t>and the AAS/AIAA Space Flight Mechanics Meeting</w:t>
      </w:r>
      <w:r>
        <w:t xml:space="preserve"> (winter)</w:t>
      </w:r>
    </w:p>
    <w:p w:rsidR="005D3556" w:rsidRDefault="009024F4" w:rsidP="005D3556">
      <w:pPr>
        <w:pStyle w:val="ListParagraph"/>
        <w:numPr>
          <w:ilvl w:val="0"/>
          <w:numId w:val="8"/>
        </w:numPr>
        <w:jc w:val="both"/>
      </w:pPr>
      <w:r>
        <w:t>Nominate deserving AAS members for professional awards</w:t>
      </w:r>
      <w:r w:rsidR="005D3556">
        <w:t xml:space="preserve"> (e.g., the Dirk Brouwer Award)</w:t>
      </w:r>
    </w:p>
    <w:p w:rsidR="00487EFF" w:rsidRDefault="009024F4" w:rsidP="005D3556">
      <w:pPr>
        <w:pStyle w:val="ListParagraph"/>
        <w:numPr>
          <w:ilvl w:val="0"/>
          <w:numId w:val="8"/>
        </w:numPr>
        <w:jc w:val="both"/>
      </w:pPr>
      <w:r>
        <w:t>Administer other awards (e.g., the John V. Breakwell Student Travel Award.)</w:t>
      </w:r>
    </w:p>
    <w:p w:rsidR="00487EFF" w:rsidRDefault="009024F4" w:rsidP="005D3556">
      <w:pPr>
        <w:pStyle w:val="ListParagraph"/>
        <w:numPr>
          <w:ilvl w:val="0"/>
          <w:numId w:val="8"/>
        </w:numPr>
        <w:jc w:val="both"/>
      </w:pPr>
      <w:r>
        <w:t>Provide advice to the AAS Board of Directors.</w:t>
      </w:r>
    </w:p>
    <w:p w:rsidR="00487EFF" w:rsidRDefault="00487EFF"/>
    <w:p w:rsidR="00487EFF" w:rsidRDefault="009024F4">
      <w:pPr>
        <w:rPr>
          <w:b/>
        </w:rPr>
      </w:pPr>
      <w:r>
        <w:rPr>
          <w:b/>
        </w:rPr>
        <w:t>II</w:t>
      </w:r>
      <w:r w:rsidR="00437993">
        <w:rPr>
          <w:b/>
        </w:rPr>
        <w:t>.</w:t>
      </w:r>
      <w:r>
        <w:rPr>
          <w:b/>
        </w:rPr>
        <w:t xml:space="preserve"> </w:t>
      </w:r>
      <w:r>
        <w:rPr>
          <w:b/>
        </w:rPr>
        <w:tab/>
        <w:t>Committee Organization</w:t>
      </w:r>
    </w:p>
    <w:p w:rsidR="00487EFF" w:rsidRDefault="00487EFF"/>
    <w:p w:rsidR="00487EFF" w:rsidRDefault="009024F4">
      <w:pPr>
        <w:jc w:val="both"/>
      </w:pPr>
      <w:r>
        <w:t>The Space Flight Mechanics Committee is composed of 30 members of the AAS. The members are chosen through nominatio</w:t>
      </w:r>
      <w:r w:rsidR="009007C3">
        <w:t>n and election by the existing C</w:t>
      </w:r>
      <w:r>
        <w:t>ommitte</w:t>
      </w:r>
      <w:r w:rsidR="009007C3">
        <w:t>e members. The officers of the C</w:t>
      </w:r>
      <w:r w:rsidR="00D62FFE">
        <w:t>ommittee consist of</w:t>
      </w:r>
      <w:r>
        <w:t xml:space="preserve"> Chair, Chair-Elect, Treasurer</w:t>
      </w:r>
      <w:r w:rsidR="00D62FFE">
        <w:t>, Secretary</w:t>
      </w:r>
      <w:r w:rsidR="00A57528">
        <w:t>, and Historian</w:t>
      </w:r>
      <w:r w:rsidR="00D62FFE">
        <w:t xml:space="preserve"> and</w:t>
      </w:r>
      <w:r>
        <w:t xml:space="preserve"> are also chosen </w:t>
      </w:r>
      <w:r w:rsidR="009007C3">
        <w:t>by the members of the existing C</w:t>
      </w:r>
      <w:r>
        <w:t>ommittee.</w:t>
      </w:r>
    </w:p>
    <w:p w:rsidR="00487EFF" w:rsidRDefault="00487EFF"/>
    <w:p w:rsidR="00487EFF" w:rsidRDefault="009024F4">
      <w:pPr>
        <w:rPr>
          <w:b/>
        </w:rPr>
      </w:pPr>
      <w:r>
        <w:rPr>
          <w:b/>
        </w:rPr>
        <w:t xml:space="preserve">II.1 </w:t>
      </w:r>
      <w:r>
        <w:rPr>
          <w:b/>
        </w:rPr>
        <w:tab/>
        <w:t>Committee Membership</w:t>
      </w:r>
    </w:p>
    <w:p w:rsidR="00487EFF" w:rsidRDefault="00487EFF"/>
    <w:p w:rsidR="00487EFF" w:rsidRDefault="009007C3">
      <w:pPr>
        <w:jc w:val="both"/>
      </w:pPr>
      <w:r>
        <w:t>Th</w:t>
      </w:r>
      <w:r w:rsidR="00D62FFE">
        <w:t xml:space="preserve">e term of office for </w:t>
      </w:r>
      <w:r>
        <w:t>C</w:t>
      </w:r>
      <w:r w:rsidR="009024F4">
        <w:t xml:space="preserve">ommittee </w:t>
      </w:r>
      <w:r w:rsidR="00995720">
        <w:t>members is 5 years</w:t>
      </w:r>
      <w:r>
        <w:t>.</w:t>
      </w:r>
      <w:r w:rsidR="00995720">
        <w:t xml:space="preserve"> </w:t>
      </w:r>
      <w:r>
        <w:t xml:space="preserve"> A C</w:t>
      </w:r>
      <w:r w:rsidR="009024F4">
        <w:t xml:space="preserve">ommittee member whose membership period has ended may be reelected for a subsequent term after a lapse of one year. There is no limit to the number of terms </w:t>
      </w:r>
      <w:r>
        <w:t>an individual may serve on the C</w:t>
      </w:r>
      <w:r w:rsidR="009024F4">
        <w:t xml:space="preserve">ommittee. </w:t>
      </w:r>
    </w:p>
    <w:p w:rsidR="00487EFF" w:rsidRDefault="00487EFF">
      <w:pPr>
        <w:jc w:val="both"/>
      </w:pPr>
    </w:p>
    <w:p w:rsidR="00D62FFE" w:rsidRDefault="00D62FFE" w:rsidP="00995720">
      <w:pPr>
        <w:jc w:val="both"/>
      </w:pPr>
      <w:r w:rsidRPr="00487EFF">
        <w:rPr>
          <w:rFonts w:cs="Times New Roman"/>
          <w:color w:val="000000"/>
          <w:szCs w:val="24"/>
        </w:rPr>
        <w:t xml:space="preserve">Nominations, including a resume, of new members will be made at the summer TC meeting, during which the nominees will be discussed. </w:t>
      </w:r>
      <w:r>
        <w:rPr>
          <w:rFonts w:cs="Times New Roman"/>
          <w:color w:val="000000"/>
          <w:szCs w:val="24"/>
        </w:rPr>
        <w:t xml:space="preserve">The discussion will consider both technical qualifications as well as evidence of voluntary service.  </w:t>
      </w:r>
      <w:r w:rsidRPr="00487EFF">
        <w:rPr>
          <w:rFonts w:cs="Times New Roman"/>
          <w:color w:val="000000"/>
          <w:szCs w:val="24"/>
        </w:rPr>
        <w:t>Nominations will not be accepted after the summer TC meeting. Election of the new members will be accomplished by email ballot shortly after the summer TC meeting.  New mem</w:t>
      </w:r>
      <w:r>
        <w:rPr>
          <w:rFonts w:cs="Times New Roman"/>
          <w:color w:val="000000"/>
          <w:szCs w:val="24"/>
        </w:rPr>
        <w:t>bers will begin serving on the C</w:t>
      </w:r>
      <w:r w:rsidRPr="00487EFF">
        <w:rPr>
          <w:rFonts w:cs="Times New Roman"/>
          <w:color w:val="000000"/>
          <w:szCs w:val="24"/>
        </w:rPr>
        <w:t xml:space="preserve">ommittee upon their election.  </w:t>
      </w:r>
      <w:r>
        <w:rPr>
          <w:rFonts w:cs="Times New Roman"/>
          <w:color w:val="000000"/>
          <w:szCs w:val="24"/>
        </w:rPr>
        <w:t>Members leaving the C</w:t>
      </w:r>
      <w:r w:rsidRPr="00487EFF">
        <w:rPr>
          <w:rFonts w:cs="Times New Roman"/>
          <w:color w:val="000000"/>
          <w:szCs w:val="24"/>
        </w:rPr>
        <w:t>ommittee do so after the election of n</w:t>
      </w:r>
      <w:r>
        <w:rPr>
          <w:rFonts w:cs="Times New Roman"/>
          <w:color w:val="000000"/>
          <w:szCs w:val="24"/>
        </w:rPr>
        <w:t>ew members in the fall.  The objective</w:t>
      </w:r>
      <w:r w:rsidRPr="00487EFF">
        <w:rPr>
          <w:rFonts w:cs="Times New Roman"/>
          <w:color w:val="000000"/>
          <w:szCs w:val="24"/>
        </w:rPr>
        <w:t xml:space="preserve"> is to have the number of people rotating off and new members joining in the 5-7 range</w:t>
      </w:r>
      <w:r>
        <w:rPr>
          <w:rFonts w:cs="Times New Roman"/>
          <w:color w:val="000000"/>
          <w:szCs w:val="24"/>
        </w:rPr>
        <w:t>.  In order to achieve this objective, the</w:t>
      </w:r>
      <w:r w:rsidRPr="00487EFF">
        <w:rPr>
          <w:rFonts w:cs="Times New Roman"/>
          <w:color w:val="000000"/>
          <w:szCs w:val="24"/>
        </w:rPr>
        <w:t xml:space="preserve"> Chair may extend the term of a member scheduled to rotate off by one year.  The extension is most likely to occur when filling the vacancy of a member who resigns before the end of his/her tenure. </w:t>
      </w:r>
      <w:r w:rsidR="00806D98">
        <w:rPr>
          <w:rFonts w:cs="Times New Roman"/>
          <w:color w:val="000000"/>
          <w:szCs w:val="24"/>
        </w:rPr>
        <w:t xml:space="preserve"> </w:t>
      </w:r>
      <w:r w:rsidRPr="00487EFF">
        <w:rPr>
          <w:rFonts w:cs="Times New Roman"/>
          <w:color w:val="000000"/>
          <w:szCs w:val="24"/>
        </w:rPr>
        <w:t>The process of selecting which member extends is at the discretion of the Chair. This member still counts as one of the 30 members and must have the standard one year lapse before being reelected.</w:t>
      </w:r>
      <w:r w:rsidRPr="00487EFF">
        <w:t xml:space="preserve"> </w:t>
      </w:r>
    </w:p>
    <w:p w:rsidR="00D62FFE" w:rsidRDefault="00D62FFE" w:rsidP="00995720">
      <w:pPr>
        <w:jc w:val="both"/>
      </w:pPr>
    </w:p>
    <w:p w:rsidR="00995720" w:rsidRDefault="00995720" w:rsidP="00995720">
      <w:pPr>
        <w:jc w:val="both"/>
      </w:pPr>
      <w:r>
        <w:t xml:space="preserve">Members are expected to attend all Committee meetings at the summer and winter conferences.  Members are required to actively serve on at least one subcommittee during the term of their membership.  Members who do not attend Committee meetings or who fail to participate in subcommittee activities four (4) consecutive </w:t>
      </w:r>
      <w:r w:rsidR="00D62FFE">
        <w:t>conferences</w:t>
      </w:r>
      <w:r>
        <w:t xml:space="preserve"> are removed automatically from the Committee.  </w:t>
      </w:r>
    </w:p>
    <w:p w:rsidR="00995720" w:rsidRDefault="00995720">
      <w:pPr>
        <w:jc w:val="both"/>
      </w:pPr>
    </w:p>
    <w:p w:rsidR="00995720" w:rsidRDefault="00995720" w:rsidP="00995720">
      <w:pPr>
        <w:rPr>
          <w:b/>
        </w:rPr>
      </w:pPr>
      <w:r>
        <w:rPr>
          <w:b/>
        </w:rPr>
        <w:t xml:space="preserve">II.2 </w:t>
      </w:r>
      <w:r>
        <w:rPr>
          <w:b/>
        </w:rPr>
        <w:tab/>
        <w:t>Committee Officers</w:t>
      </w:r>
    </w:p>
    <w:p w:rsidR="00995720" w:rsidRDefault="00995720">
      <w:pPr>
        <w:jc w:val="both"/>
      </w:pPr>
    </w:p>
    <w:p w:rsidR="00995720" w:rsidRDefault="00995720" w:rsidP="00995720">
      <w:pPr>
        <w:jc w:val="both"/>
      </w:pPr>
      <w:r>
        <w:t xml:space="preserve">There are </w:t>
      </w:r>
      <w:r w:rsidR="00564DC8">
        <w:t>four</w:t>
      </w:r>
      <w:r>
        <w:t xml:space="preserve"> elected Committee positions: </w:t>
      </w:r>
      <w:r w:rsidR="00D62FFE">
        <w:t>chair, secretary</w:t>
      </w:r>
      <w:r w:rsidR="00E63F5D">
        <w:t>,</w:t>
      </w:r>
      <w:r w:rsidR="00564DC8">
        <w:t xml:space="preserve"> </w:t>
      </w:r>
      <w:r w:rsidR="00D62FFE">
        <w:t>treasurer</w:t>
      </w:r>
      <w:r w:rsidR="00564DC8">
        <w:t>, and historian</w:t>
      </w:r>
      <w:r w:rsidR="00D62FFE">
        <w:t>.</w:t>
      </w:r>
      <w:r w:rsidR="00E63F5D">
        <w:t xml:space="preserve">  The terms of office and timing of election and assuming office </w:t>
      </w:r>
      <w:r w:rsidR="00D62FFE">
        <w:t>of these positions are specified in Table 1.</w:t>
      </w:r>
    </w:p>
    <w:p w:rsidR="00D62FFE" w:rsidRDefault="00D62FFE" w:rsidP="00995720">
      <w:pPr>
        <w:jc w:val="both"/>
      </w:pPr>
    </w:p>
    <w:p w:rsidR="00D62FFE" w:rsidRDefault="00D62FFE" w:rsidP="00D62FFE">
      <w:pPr>
        <w:jc w:val="center"/>
      </w:pPr>
      <w:r>
        <w:t>Table 1: Terms of Office</w:t>
      </w:r>
    </w:p>
    <w:p w:rsidR="00D62FFE" w:rsidRDefault="00D62FFE" w:rsidP="00D62FF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350"/>
        <w:gridCol w:w="2880"/>
        <w:gridCol w:w="3168"/>
      </w:tblGrid>
      <w:tr w:rsidR="009F7EBC" w:rsidTr="006F4FF1">
        <w:tc>
          <w:tcPr>
            <w:tcW w:w="1458" w:type="dxa"/>
            <w:shd w:val="clear" w:color="auto" w:fill="B8CCE4"/>
          </w:tcPr>
          <w:p w:rsidR="009F7EBC" w:rsidRDefault="009F7EBC" w:rsidP="00D62FFE">
            <w:r>
              <w:t>Office</w:t>
            </w:r>
          </w:p>
        </w:tc>
        <w:tc>
          <w:tcPr>
            <w:tcW w:w="1350" w:type="dxa"/>
            <w:shd w:val="clear" w:color="auto" w:fill="B8CCE4"/>
          </w:tcPr>
          <w:p w:rsidR="009F7EBC" w:rsidRDefault="009F7EBC" w:rsidP="00D62FFE">
            <w:r>
              <w:t>Term</w:t>
            </w:r>
          </w:p>
        </w:tc>
        <w:tc>
          <w:tcPr>
            <w:tcW w:w="2880" w:type="dxa"/>
            <w:shd w:val="clear" w:color="auto" w:fill="B8CCE4"/>
          </w:tcPr>
          <w:p w:rsidR="009F7EBC" w:rsidRDefault="00E63F5D" w:rsidP="009F7EBC">
            <w:r>
              <w:t>Nomination</w:t>
            </w:r>
          </w:p>
        </w:tc>
        <w:tc>
          <w:tcPr>
            <w:tcW w:w="3168" w:type="dxa"/>
            <w:shd w:val="clear" w:color="auto" w:fill="B8CCE4"/>
          </w:tcPr>
          <w:p w:rsidR="009F7EBC" w:rsidRDefault="00E63F5D" w:rsidP="00D62FFE">
            <w:r>
              <w:t>First Conference Duties</w:t>
            </w:r>
          </w:p>
        </w:tc>
      </w:tr>
      <w:tr w:rsidR="009F7EBC" w:rsidTr="006F4FF1">
        <w:tc>
          <w:tcPr>
            <w:tcW w:w="1458" w:type="dxa"/>
          </w:tcPr>
          <w:p w:rsidR="009F7EBC" w:rsidRDefault="009F7EBC" w:rsidP="00D62FFE">
            <w:r>
              <w:t>Chair</w:t>
            </w:r>
          </w:p>
        </w:tc>
        <w:tc>
          <w:tcPr>
            <w:tcW w:w="1350" w:type="dxa"/>
          </w:tcPr>
          <w:p w:rsidR="009F7EBC" w:rsidRDefault="009F7EBC" w:rsidP="00D62FFE">
            <w:r>
              <w:t>2 years</w:t>
            </w:r>
          </w:p>
        </w:tc>
        <w:tc>
          <w:tcPr>
            <w:tcW w:w="2880" w:type="dxa"/>
          </w:tcPr>
          <w:p w:rsidR="009F7EBC" w:rsidRDefault="009F7EBC" w:rsidP="00D62FFE">
            <w:r>
              <w:t xml:space="preserve"> ---</w:t>
            </w:r>
          </w:p>
        </w:tc>
        <w:tc>
          <w:tcPr>
            <w:tcW w:w="3168" w:type="dxa"/>
          </w:tcPr>
          <w:p w:rsidR="009F7EBC" w:rsidRDefault="009F7EBC" w:rsidP="00D62FFE">
            <w:r>
              <w:t>Even year winter meeting</w:t>
            </w:r>
          </w:p>
        </w:tc>
      </w:tr>
      <w:tr w:rsidR="009F7EBC" w:rsidTr="006F4FF1">
        <w:tc>
          <w:tcPr>
            <w:tcW w:w="1458" w:type="dxa"/>
          </w:tcPr>
          <w:p w:rsidR="009F7EBC" w:rsidRDefault="009F7EBC" w:rsidP="00D62FFE">
            <w:r>
              <w:t>Chair-Elect</w:t>
            </w:r>
          </w:p>
        </w:tc>
        <w:tc>
          <w:tcPr>
            <w:tcW w:w="1350" w:type="dxa"/>
          </w:tcPr>
          <w:p w:rsidR="009F7EBC" w:rsidRDefault="009F7EBC" w:rsidP="00D62FFE">
            <w:r>
              <w:t>1 year</w:t>
            </w:r>
          </w:p>
        </w:tc>
        <w:tc>
          <w:tcPr>
            <w:tcW w:w="2880" w:type="dxa"/>
          </w:tcPr>
          <w:p w:rsidR="009F7EBC" w:rsidRDefault="00806D98" w:rsidP="00D62FFE">
            <w:r>
              <w:t>Even</w:t>
            </w:r>
            <w:r w:rsidR="009F7EBC">
              <w:t xml:space="preserve"> year summer meeting </w:t>
            </w:r>
          </w:p>
        </w:tc>
        <w:tc>
          <w:tcPr>
            <w:tcW w:w="3168" w:type="dxa"/>
          </w:tcPr>
          <w:p w:rsidR="009F7EBC" w:rsidRDefault="00806D98" w:rsidP="00D62FFE">
            <w:r>
              <w:t>Odd</w:t>
            </w:r>
            <w:r w:rsidR="009F7EBC">
              <w:t xml:space="preserve"> year winter meeting</w:t>
            </w:r>
          </w:p>
        </w:tc>
      </w:tr>
      <w:tr w:rsidR="009F7EBC" w:rsidTr="006F4FF1">
        <w:tc>
          <w:tcPr>
            <w:tcW w:w="1458" w:type="dxa"/>
          </w:tcPr>
          <w:p w:rsidR="009F7EBC" w:rsidRDefault="009F7EBC" w:rsidP="00D62FFE">
            <w:r>
              <w:t>Secretary</w:t>
            </w:r>
          </w:p>
        </w:tc>
        <w:tc>
          <w:tcPr>
            <w:tcW w:w="1350" w:type="dxa"/>
          </w:tcPr>
          <w:p w:rsidR="009F7EBC" w:rsidRDefault="009F7EBC" w:rsidP="00D62FFE">
            <w:r>
              <w:t>2 years</w:t>
            </w:r>
          </w:p>
        </w:tc>
        <w:tc>
          <w:tcPr>
            <w:tcW w:w="2880" w:type="dxa"/>
          </w:tcPr>
          <w:p w:rsidR="009F7EBC" w:rsidRDefault="00806D98" w:rsidP="00D62FFE">
            <w:r>
              <w:t>Even year summer meeting</w:t>
            </w:r>
          </w:p>
        </w:tc>
        <w:tc>
          <w:tcPr>
            <w:tcW w:w="3168" w:type="dxa"/>
          </w:tcPr>
          <w:p w:rsidR="009F7EBC" w:rsidRDefault="00806D98" w:rsidP="00D62FFE">
            <w:r>
              <w:t>Odd year winter meeting</w:t>
            </w:r>
          </w:p>
        </w:tc>
      </w:tr>
      <w:tr w:rsidR="009F7EBC" w:rsidTr="006F4FF1">
        <w:tc>
          <w:tcPr>
            <w:tcW w:w="1458" w:type="dxa"/>
          </w:tcPr>
          <w:p w:rsidR="009F7EBC" w:rsidRDefault="009F7EBC" w:rsidP="00D62FFE">
            <w:r>
              <w:t>Treasurer</w:t>
            </w:r>
          </w:p>
        </w:tc>
        <w:tc>
          <w:tcPr>
            <w:tcW w:w="1350" w:type="dxa"/>
          </w:tcPr>
          <w:p w:rsidR="009F7EBC" w:rsidRDefault="009F7EBC" w:rsidP="00D62FFE">
            <w:r>
              <w:t>Indefinite</w:t>
            </w:r>
          </w:p>
        </w:tc>
        <w:tc>
          <w:tcPr>
            <w:tcW w:w="2880" w:type="dxa"/>
          </w:tcPr>
          <w:p w:rsidR="009F7EBC" w:rsidRDefault="00806D98" w:rsidP="00D62FFE">
            <w:r>
              <w:t>---</w:t>
            </w:r>
          </w:p>
        </w:tc>
        <w:tc>
          <w:tcPr>
            <w:tcW w:w="3168" w:type="dxa"/>
          </w:tcPr>
          <w:p w:rsidR="009F7EBC" w:rsidRDefault="00806D98" w:rsidP="00D62FFE">
            <w:r>
              <w:t>---</w:t>
            </w:r>
          </w:p>
        </w:tc>
      </w:tr>
      <w:tr w:rsidR="00564DC8" w:rsidTr="006F4FF1">
        <w:tc>
          <w:tcPr>
            <w:tcW w:w="1458" w:type="dxa"/>
          </w:tcPr>
          <w:p w:rsidR="00564DC8" w:rsidRDefault="00564DC8" w:rsidP="00D62FFE">
            <w:r>
              <w:t>Historian</w:t>
            </w:r>
          </w:p>
        </w:tc>
        <w:tc>
          <w:tcPr>
            <w:tcW w:w="1350" w:type="dxa"/>
          </w:tcPr>
          <w:p w:rsidR="00564DC8" w:rsidRDefault="00564DC8" w:rsidP="00D62FFE">
            <w:r>
              <w:t>2 years</w:t>
            </w:r>
          </w:p>
        </w:tc>
        <w:tc>
          <w:tcPr>
            <w:tcW w:w="2880" w:type="dxa"/>
          </w:tcPr>
          <w:p w:rsidR="00564DC8" w:rsidRDefault="00564DC8" w:rsidP="00BE7750">
            <w:r>
              <w:t>Even year summer meeting</w:t>
            </w:r>
          </w:p>
        </w:tc>
        <w:tc>
          <w:tcPr>
            <w:tcW w:w="3168" w:type="dxa"/>
          </w:tcPr>
          <w:p w:rsidR="00564DC8" w:rsidRDefault="00564DC8" w:rsidP="00BE7750">
            <w:r>
              <w:t>Odd year winter meeting</w:t>
            </w:r>
          </w:p>
        </w:tc>
      </w:tr>
    </w:tbl>
    <w:p w:rsidR="009F7EBC" w:rsidRDefault="009F7EBC" w:rsidP="00D62FFE"/>
    <w:p w:rsidR="00E63F5D" w:rsidRDefault="00D62FFE" w:rsidP="00E63F5D">
      <w:pPr>
        <w:jc w:val="both"/>
      </w:pPr>
      <w:r w:rsidRPr="00487EFF">
        <w:rPr>
          <w:rFonts w:cs="Times New Roman"/>
          <w:color w:val="000000"/>
          <w:szCs w:val="24"/>
        </w:rPr>
        <w:t xml:space="preserve">Nominations for new officers are made at the summer Astrodynamics Specialist Conference </w:t>
      </w:r>
      <w:r w:rsidR="00E63F5D">
        <w:rPr>
          <w:rFonts w:cs="Times New Roman"/>
          <w:color w:val="000000"/>
          <w:szCs w:val="24"/>
        </w:rPr>
        <w:t xml:space="preserve">in even years </w:t>
      </w:r>
      <w:r w:rsidRPr="00487EFF">
        <w:rPr>
          <w:rFonts w:cs="Times New Roman"/>
          <w:color w:val="000000"/>
          <w:szCs w:val="24"/>
        </w:rPr>
        <w:t xml:space="preserve">(or within a short time thereafter as specified by the chair).  </w:t>
      </w:r>
      <w:r w:rsidR="006444E6">
        <w:t xml:space="preserve">  </w:t>
      </w:r>
      <w:r w:rsidR="00E63F5D">
        <w:t>Ballots are cast by email prior to the next Committee meeting</w:t>
      </w:r>
      <w:r w:rsidR="006444E6">
        <w:t>, and the new officers assume their duties upon completing of the balloting, but no later than</w:t>
      </w:r>
      <w:r w:rsidR="00E63F5D">
        <w:t xml:space="preserve"> the winter c</w:t>
      </w:r>
      <w:r w:rsidR="006444E6">
        <w:t>onference of odd numbered years</w:t>
      </w:r>
      <w:r w:rsidR="00E63F5D">
        <w:t xml:space="preserve">. </w:t>
      </w:r>
    </w:p>
    <w:p w:rsidR="00E63F5D" w:rsidRDefault="00E63F5D">
      <w:pPr>
        <w:jc w:val="both"/>
      </w:pPr>
    </w:p>
    <w:p w:rsidR="00487EFF" w:rsidRDefault="009024F4">
      <w:pPr>
        <w:jc w:val="both"/>
      </w:pPr>
      <w:r>
        <w:t>The term of office fo</w:t>
      </w:r>
      <w:r w:rsidR="00384633">
        <w:t xml:space="preserve">r </w:t>
      </w:r>
      <w:r w:rsidR="009007C3">
        <w:t xml:space="preserve">newly elected </w:t>
      </w:r>
      <w:r w:rsidR="00564DC8">
        <w:t>officer</w:t>
      </w:r>
      <w:r w:rsidR="00384633">
        <w:t>s</w:t>
      </w:r>
      <w:r w:rsidR="009007C3">
        <w:t xml:space="preserve"> of the C</w:t>
      </w:r>
      <w:r>
        <w:t xml:space="preserve">ommittee will be automatically extended to allow </w:t>
      </w:r>
      <w:proofErr w:type="gramStart"/>
      <w:r>
        <w:t xml:space="preserve">the </w:t>
      </w:r>
      <w:r w:rsidR="00564DC8">
        <w:t>them</w:t>
      </w:r>
      <w:proofErr w:type="gramEnd"/>
      <w:r>
        <w:t xml:space="preserve"> to complete the 2 year term of office. </w:t>
      </w:r>
      <w:r w:rsidR="006444E6">
        <w:t xml:space="preserve"> </w:t>
      </w:r>
      <w:r>
        <w:t>The term of office for chairs of upcoming conferences will be auto</w:t>
      </w:r>
      <w:r w:rsidR="009007C3">
        <w:t>matically extended to the next C</w:t>
      </w:r>
      <w:r>
        <w:t xml:space="preserve">ommittee meeting after the end of the conference to allow them to complete the duties associated with the conference. </w:t>
      </w:r>
      <w:r w:rsidR="006444E6">
        <w:t xml:space="preserve"> </w:t>
      </w:r>
      <w:r>
        <w:t xml:space="preserve">Members whose terms of office have been extended </w:t>
      </w:r>
      <w:r w:rsidR="009007C3">
        <w:t>do not count towards the total C</w:t>
      </w:r>
      <w:r>
        <w:t xml:space="preserve">ommittee membership of 30. </w:t>
      </w:r>
    </w:p>
    <w:p w:rsidR="00487EFF" w:rsidRDefault="00487EFF"/>
    <w:p w:rsidR="00487EFF" w:rsidRDefault="005A2A41">
      <w:pPr>
        <w:rPr>
          <w:b/>
        </w:rPr>
      </w:pPr>
      <w:r>
        <w:rPr>
          <w:b/>
        </w:rPr>
        <w:t>II.3</w:t>
      </w:r>
      <w:r w:rsidR="009024F4">
        <w:rPr>
          <w:b/>
        </w:rPr>
        <w:t xml:space="preserve"> </w:t>
      </w:r>
      <w:r w:rsidR="009024F4">
        <w:rPr>
          <w:b/>
        </w:rPr>
        <w:tab/>
        <w:t>Committee Chair</w:t>
      </w:r>
    </w:p>
    <w:p w:rsidR="00487EFF" w:rsidRDefault="00487EFF">
      <w:pPr>
        <w:rPr>
          <w:b/>
        </w:rPr>
      </w:pPr>
    </w:p>
    <w:p w:rsidR="00487EFF" w:rsidRDefault="009024F4">
      <w:pPr>
        <w:jc w:val="both"/>
      </w:pPr>
      <w:r>
        <w:t>The chair's duties ar</w:t>
      </w:r>
      <w:r w:rsidR="009007C3">
        <w:t>e to organize a meeting of the C</w:t>
      </w:r>
      <w:r>
        <w:t>ommi</w:t>
      </w:r>
      <w:r w:rsidR="009007C3">
        <w:t>ttee membership at each of the C</w:t>
      </w:r>
      <w:r w:rsidR="00E63F5D">
        <w:t xml:space="preserve">ommittee's conferences – </w:t>
      </w:r>
      <w:r>
        <w:t xml:space="preserve">the Astrodynamics Specialist Conference and the Space Flight Mechanics Meeting. </w:t>
      </w:r>
      <w:r w:rsidR="006444E6">
        <w:t xml:space="preserve"> </w:t>
      </w:r>
      <w:r>
        <w:t xml:space="preserve">The chair is </w:t>
      </w:r>
      <w:r w:rsidR="002E11B7">
        <w:t xml:space="preserve">also responsible for ensuring the appointment and operation of subcommittees and overseeing the selection of </w:t>
      </w:r>
      <w:r w:rsidR="009007C3">
        <w:t>new C</w:t>
      </w:r>
      <w:r>
        <w:t>ommittee members</w:t>
      </w:r>
      <w:r w:rsidR="002E11B7">
        <w:t>, officers,</w:t>
      </w:r>
      <w:r>
        <w:t xml:space="preserve"> and award nominees. </w:t>
      </w:r>
    </w:p>
    <w:p w:rsidR="00487EFF" w:rsidRDefault="00487EFF">
      <w:pPr>
        <w:jc w:val="both"/>
      </w:pPr>
    </w:p>
    <w:p w:rsidR="00487EFF" w:rsidRDefault="009007C3">
      <w:pPr>
        <w:jc w:val="both"/>
      </w:pPr>
      <w:r>
        <w:t>A typical agenda for a C</w:t>
      </w:r>
      <w:r w:rsidR="009024F4">
        <w:t xml:space="preserve">ommittee meeting is given below. The information in bold italics should be replaced with specific information for the current meeting. </w:t>
      </w:r>
    </w:p>
    <w:p w:rsidR="002E087C" w:rsidRDefault="002E087C">
      <w:pPr>
        <w:rPr>
          <w:b/>
        </w:rPr>
      </w:pPr>
    </w:p>
    <w:p w:rsidR="00487EFF" w:rsidRPr="00995720" w:rsidRDefault="009024F4" w:rsidP="00995720">
      <w:pPr>
        <w:jc w:val="center"/>
      </w:pPr>
      <w:r>
        <w:rPr>
          <w:b/>
        </w:rPr>
        <w:lastRenderedPageBreak/>
        <w:t>AAS SPACE FLIGHT MECHANICS COMMITTEE MEETING</w:t>
      </w:r>
    </w:p>
    <w:p w:rsidR="00487EFF" w:rsidRDefault="00487EFF">
      <w:pPr>
        <w:jc w:val="center"/>
        <w:rPr>
          <w:b/>
        </w:rPr>
      </w:pPr>
    </w:p>
    <w:p w:rsidR="00487EFF" w:rsidRDefault="009024F4">
      <w:pPr>
        <w:jc w:val="center"/>
      </w:pPr>
      <w:r>
        <w:t>Tuesday August 17, 1999</w:t>
      </w:r>
    </w:p>
    <w:p w:rsidR="00487EFF" w:rsidRDefault="009024F4">
      <w:pPr>
        <w:jc w:val="center"/>
      </w:pPr>
      <w:r>
        <w:t>12:00-</w:t>
      </w:r>
      <w:proofErr w:type="gramStart"/>
      <w:r>
        <w:t>1:30  Portage</w:t>
      </w:r>
      <w:proofErr w:type="gramEnd"/>
      <w:r>
        <w:t xml:space="preserve"> Salon</w:t>
      </w:r>
    </w:p>
    <w:p w:rsidR="00487EFF" w:rsidRDefault="009024F4">
      <w:pPr>
        <w:jc w:val="center"/>
      </w:pPr>
      <w:r>
        <w:t xml:space="preserve">Westin Prince </w:t>
      </w:r>
      <w:proofErr w:type="spellStart"/>
      <w:r>
        <w:t>Alyeska</w:t>
      </w:r>
      <w:proofErr w:type="spellEnd"/>
      <w:r>
        <w:t xml:space="preserve"> Resort, Girdwood, Alaska</w:t>
      </w:r>
    </w:p>
    <w:p w:rsidR="00487EFF" w:rsidRDefault="00487EFF">
      <w:pPr>
        <w:jc w:val="center"/>
      </w:pPr>
    </w:p>
    <w:p w:rsidR="00487EFF" w:rsidRDefault="009024F4">
      <w:pPr>
        <w:jc w:val="center"/>
      </w:pPr>
      <w:r>
        <w:rPr>
          <w:b/>
        </w:rPr>
        <w:t>Agenda</w:t>
      </w:r>
    </w:p>
    <w:p w:rsidR="00487EFF" w:rsidRDefault="00487EFF"/>
    <w:p w:rsidR="00487EFF" w:rsidRPr="002E087C" w:rsidRDefault="009024F4" w:rsidP="002E087C">
      <w:pPr>
        <w:pStyle w:val="ListParagraph"/>
        <w:numPr>
          <w:ilvl w:val="0"/>
          <w:numId w:val="3"/>
        </w:numPr>
      </w:pPr>
      <w:r>
        <w:t xml:space="preserve">Opening remarks/Introduction - </w:t>
      </w:r>
      <w:r w:rsidRPr="002E087C">
        <w:rPr>
          <w:b/>
          <w:i/>
        </w:rPr>
        <w:t>Current Committee Chair</w:t>
      </w:r>
    </w:p>
    <w:p w:rsidR="002E087C" w:rsidRDefault="002E087C" w:rsidP="002E087C">
      <w:pPr>
        <w:pStyle w:val="ListParagraph"/>
      </w:pPr>
    </w:p>
    <w:p w:rsidR="002E087C" w:rsidRPr="002E087C" w:rsidRDefault="002E087C" w:rsidP="002E087C">
      <w:pPr>
        <w:pStyle w:val="ListParagraph"/>
        <w:ind w:left="1440"/>
      </w:pPr>
      <w:r>
        <w:t>Welcome of new members (</w:t>
      </w:r>
      <w:proofErr w:type="gramStart"/>
      <w:r>
        <w:t>Winter</w:t>
      </w:r>
      <w:proofErr w:type="gramEnd"/>
      <w:r>
        <w:t xml:space="preserve"> meeting only)</w:t>
      </w:r>
    </w:p>
    <w:p w:rsidR="002E087C" w:rsidRDefault="002E087C" w:rsidP="002E087C">
      <w:pPr>
        <w:pStyle w:val="ListParagraph"/>
      </w:pPr>
    </w:p>
    <w:p w:rsidR="002E087C" w:rsidRPr="002E087C" w:rsidRDefault="002E087C" w:rsidP="002E087C">
      <w:pPr>
        <w:pStyle w:val="ListParagraph"/>
        <w:numPr>
          <w:ilvl w:val="0"/>
          <w:numId w:val="3"/>
        </w:numPr>
      </w:pPr>
      <w:r>
        <w:t xml:space="preserve">Minutes of the </w:t>
      </w:r>
      <w:r>
        <w:rPr>
          <w:b/>
          <w:i/>
        </w:rPr>
        <w:t>Last Committee Meeting</w:t>
      </w:r>
      <w:r>
        <w:t xml:space="preserve"> - </w:t>
      </w:r>
      <w:r>
        <w:rPr>
          <w:b/>
          <w:i/>
        </w:rPr>
        <w:t>Current Committee Chair</w:t>
      </w:r>
    </w:p>
    <w:p w:rsidR="002E087C" w:rsidRDefault="002E087C" w:rsidP="002E087C">
      <w:pPr>
        <w:pStyle w:val="ListParagraph"/>
      </w:pPr>
    </w:p>
    <w:p w:rsidR="00487EFF" w:rsidRPr="002E087C" w:rsidRDefault="009024F4" w:rsidP="002E087C">
      <w:pPr>
        <w:pStyle w:val="ListParagraph"/>
        <w:numPr>
          <w:ilvl w:val="0"/>
          <w:numId w:val="3"/>
        </w:numPr>
      </w:pPr>
      <w:r>
        <w:t xml:space="preserve">Treasurer's Report - </w:t>
      </w:r>
      <w:r w:rsidRPr="002E087C">
        <w:rPr>
          <w:b/>
          <w:i/>
        </w:rPr>
        <w:t>Current Treasurer</w:t>
      </w:r>
    </w:p>
    <w:p w:rsidR="002E087C" w:rsidRDefault="002E087C" w:rsidP="002E087C">
      <w:pPr>
        <w:pStyle w:val="ListParagraph"/>
      </w:pPr>
    </w:p>
    <w:p w:rsidR="00487EFF" w:rsidRPr="002E087C" w:rsidRDefault="002E11B7" w:rsidP="002E087C">
      <w:pPr>
        <w:pStyle w:val="ListParagraph"/>
        <w:numPr>
          <w:ilvl w:val="0"/>
          <w:numId w:val="3"/>
        </w:numPr>
      </w:pPr>
      <w:r>
        <w:t>Report</w:t>
      </w:r>
      <w:r w:rsidR="009024F4">
        <w:t xml:space="preserve"> on </w:t>
      </w:r>
      <w:r w:rsidRPr="002E087C">
        <w:rPr>
          <w:b/>
          <w:i/>
        </w:rPr>
        <w:t>Previous Meeting</w:t>
      </w:r>
      <w:r w:rsidR="009024F4" w:rsidRPr="002E087C">
        <w:rPr>
          <w:b/>
          <w:i/>
        </w:rPr>
        <w:t xml:space="preserve"> -</w:t>
      </w:r>
      <w:r w:rsidR="009024F4">
        <w:t xml:space="preserve"> </w:t>
      </w:r>
      <w:r w:rsidR="009024F4" w:rsidRPr="002E087C">
        <w:rPr>
          <w:b/>
          <w:i/>
        </w:rPr>
        <w:t>Meeting Chairs</w:t>
      </w:r>
    </w:p>
    <w:p w:rsidR="002E087C" w:rsidRDefault="002E087C" w:rsidP="002E087C">
      <w:pPr>
        <w:pStyle w:val="ListParagraph"/>
      </w:pPr>
    </w:p>
    <w:p w:rsidR="002E11B7" w:rsidRPr="002E087C" w:rsidRDefault="002E11B7" w:rsidP="002E087C">
      <w:pPr>
        <w:pStyle w:val="ListParagraph"/>
        <w:numPr>
          <w:ilvl w:val="0"/>
          <w:numId w:val="3"/>
        </w:numPr>
      </w:pPr>
      <w:r>
        <w:t xml:space="preserve">Report on </w:t>
      </w:r>
      <w:r w:rsidRPr="002E087C">
        <w:rPr>
          <w:b/>
          <w:i/>
        </w:rPr>
        <w:t>Current Meeting -</w:t>
      </w:r>
      <w:r>
        <w:t xml:space="preserve"> </w:t>
      </w:r>
      <w:r w:rsidRPr="002E087C">
        <w:rPr>
          <w:b/>
          <w:i/>
        </w:rPr>
        <w:t>Meeting Chairs</w:t>
      </w:r>
    </w:p>
    <w:p w:rsidR="002E087C" w:rsidRDefault="002E087C" w:rsidP="002E087C">
      <w:pPr>
        <w:pStyle w:val="ListParagraph"/>
      </w:pPr>
    </w:p>
    <w:p w:rsidR="00487EFF" w:rsidRPr="002E087C" w:rsidRDefault="009024F4" w:rsidP="002E087C">
      <w:pPr>
        <w:pStyle w:val="ListParagraph"/>
        <w:numPr>
          <w:ilvl w:val="0"/>
          <w:numId w:val="3"/>
        </w:numPr>
      </w:pPr>
      <w:r>
        <w:t xml:space="preserve">Planning for the </w:t>
      </w:r>
      <w:r w:rsidRPr="002E087C">
        <w:rPr>
          <w:b/>
          <w:i/>
        </w:rPr>
        <w:t>Next Meeting</w:t>
      </w:r>
      <w:r w:rsidR="002E11B7" w:rsidRPr="002E087C">
        <w:rPr>
          <w:b/>
          <w:i/>
        </w:rPr>
        <w:t xml:space="preserve"> (6 months away)</w:t>
      </w:r>
      <w:r>
        <w:t xml:space="preserve"> - </w:t>
      </w:r>
      <w:r w:rsidRPr="002E087C">
        <w:rPr>
          <w:b/>
          <w:i/>
        </w:rPr>
        <w:t>Meeting Chairs</w:t>
      </w:r>
    </w:p>
    <w:p w:rsidR="002E087C" w:rsidRDefault="002E087C" w:rsidP="002E087C">
      <w:pPr>
        <w:pStyle w:val="ListParagraph"/>
      </w:pPr>
    </w:p>
    <w:p w:rsidR="00487EFF" w:rsidRPr="002E087C" w:rsidRDefault="009024F4" w:rsidP="002E087C">
      <w:pPr>
        <w:pStyle w:val="ListParagraph"/>
        <w:numPr>
          <w:ilvl w:val="0"/>
          <w:numId w:val="3"/>
        </w:numPr>
      </w:pPr>
      <w:r>
        <w:t xml:space="preserve">Planning for the </w:t>
      </w:r>
      <w:r w:rsidRPr="002E087C">
        <w:rPr>
          <w:b/>
          <w:i/>
        </w:rPr>
        <w:t>Meeting after Next</w:t>
      </w:r>
      <w:r w:rsidR="002E11B7" w:rsidRPr="002E087C">
        <w:rPr>
          <w:b/>
          <w:i/>
        </w:rPr>
        <w:t xml:space="preserve"> (1 year away)</w:t>
      </w:r>
      <w:r>
        <w:t xml:space="preserve"> - </w:t>
      </w:r>
      <w:r w:rsidRPr="002E087C">
        <w:rPr>
          <w:b/>
          <w:i/>
        </w:rPr>
        <w:t>Meeting Chairs</w:t>
      </w:r>
    </w:p>
    <w:p w:rsidR="002E087C" w:rsidRDefault="002E087C" w:rsidP="002E087C">
      <w:pPr>
        <w:pStyle w:val="ListParagraph"/>
      </w:pPr>
    </w:p>
    <w:p w:rsidR="00487EFF" w:rsidRPr="002E087C" w:rsidRDefault="002E11B7" w:rsidP="002E087C">
      <w:pPr>
        <w:pStyle w:val="ListParagraph"/>
        <w:numPr>
          <w:ilvl w:val="0"/>
          <w:numId w:val="3"/>
        </w:numPr>
      </w:pPr>
      <w:r>
        <w:t xml:space="preserve">Planning </w:t>
      </w:r>
      <w:r w:rsidR="009024F4">
        <w:t xml:space="preserve">for </w:t>
      </w:r>
      <w:r w:rsidR="009024F4" w:rsidRPr="002E087C">
        <w:rPr>
          <w:b/>
          <w:i/>
        </w:rPr>
        <w:t>Second Meeting after Next</w:t>
      </w:r>
      <w:r w:rsidRPr="002E087C">
        <w:rPr>
          <w:b/>
          <w:i/>
        </w:rPr>
        <w:t xml:space="preserve"> (1.5 years away)</w:t>
      </w:r>
      <w:r w:rsidR="009024F4">
        <w:t xml:space="preserve"> - </w:t>
      </w:r>
      <w:r w:rsidR="009024F4" w:rsidRPr="002E087C">
        <w:rPr>
          <w:b/>
          <w:i/>
        </w:rPr>
        <w:t>Meeting Chairs</w:t>
      </w:r>
    </w:p>
    <w:p w:rsidR="002E087C" w:rsidRDefault="002E087C" w:rsidP="002E087C">
      <w:pPr>
        <w:pStyle w:val="ListParagraph"/>
      </w:pPr>
    </w:p>
    <w:p w:rsidR="00487EFF" w:rsidRPr="002E087C" w:rsidRDefault="002E11B7" w:rsidP="002E087C">
      <w:pPr>
        <w:pStyle w:val="ListParagraph"/>
        <w:numPr>
          <w:ilvl w:val="0"/>
          <w:numId w:val="3"/>
        </w:numPr>
      </w:pPr>
      <w:r>
        <w:t>Vote on location</w:t>
      </w:r>
      <w:r w:rsidR="009024F4">
        <w:t xml:space="preserve"> for </w:t>
      </w:r>
      <w:r w:rsidR="009024F4" w:rsidRPr="002E087C">
        <w:rPr>
          <w:b/>
          <w:i/>
        </w:rPr>
        <w:t>Third Meeting after Next</w:t>
      </w:r>
      <w:r w:rsidRPr="002E087C">
        <w:rPr>
          <w:b/>
          <w:i/>
        </w:rPr>
        <w:t xml:space="preserve"> (2 years away)</w:t>
      </w:r>
      <w:r w:rsidR="00E63F5D">
        <w:t xml:space="preserve"> </w:t>
      </w:r>
      <w:r w:rsidR="005A2A41">
        <w:t>–</w:t>
      </w:r>
      <w:r w:rsidR="009024F4">
        <w:t xml:space="preserve"> </w:t>
      </w:r>
      <w:r w:rsidR="005A2A41" w:rsidRPr="002E087C">
        <w:rPr>
          <w:b/>
          <w:i/>
        </w:rPr>
        <w:t>CAS Subcommittee Chair</w:t>
      </w:r>
    </w:p>
    <w:p w:rsidR="002E087C" w:rsidRDefault="002E087C" w:rsidP="002E087C">
      <w:pPr>
        <w:pStyle w:val="ListParagraph"/>
      </w:pPr>
    </w:p>
    <w:p w:rsidR="00487EFF" w:rsidRPr="002E087C" w:rsidRDefault="002E11B7" w:rsidP="002E087C">
      <w:pPr>
        <w:pStyle w:val="ListParagraph"/>
        <w:numPr>
          <w:ilvl w:val="0"/>
          <w:numId w:val="3"/>
        </w:numPr>
      </w:pPr>
      <w:r>
        <w:t>Location suggestions</w:t>
      </w:r>
      <w:r w:rsidR="009024F4">
        <w:t xml:space="preserve"> for </w:t>
      </w:r>
      <w:r w:rsidR="009024F4" w:rsidRPr="002E087C">
        <w:rPr>
          <w:b/>
          <w:i/>
        </w:rPr>
        <w:t>Fourth Meeting after Next</w:t>
      </w:r>
      <w:r w:rsidR="005A2A41" w:rsidRPr="002E087C">
        <w:rPr>
          <w:b/>
          <w:i/>
        </w:rPr>
        <w:t xml:space="preserve"> (2.5 years away)</w:t>
      </w:r>
      <w:r w:rsidR="009024F4">
        <w:t xml:space="preserve"> </w:t>
      </w:r>
      <w:r w:rsidR="005A2A41">
        <w:t>–</w:t>
      </w:r>
      <w:r w:rsidR="009024F4">
        <w:t xml:space="preserve"> </w:t>
      </w:r>
      <w:r w:rsidR="005A2A41" w:rsidRPr="002E087C">
        <w:rPr>
          <w:b/>
          <w:i/>
        </w:rPr>
        <w:t xml:space="preserve">CAS Subcommittee </w:t>
      </w:r>
      <w:r w:rsidR="009024F4" w:rsidRPr="002E087C">
        <w:rPr>
          <w:b/>
          <w:i/>
        </w:rPr>
        <w:t xml:space="preserve"> Chair</w:t>
      </w:r>
    </w:p>
    <w:p w:rsidR="002E087C" w:rsidRDefault="002E087C" w:rsidP="002E087C">
      <w:pPr>
        <w:pStyle w:val="ListParagraph"/>
      </w:pPr>
    </w:p>
    <w:p w:rsidR="00487EFF" w:rsidRPr="002E087C" w:rsidRDefault="005A2A41" w:rsidP="002E087C">
      <w:pPr>
        <w:pStyle w:val="ListParagraph"/>
        <w:numPr>
          <w:ilvl w:val="0"/>
          <w:numId w:val="3"/>
        </w:numPr>
      </w:pPr>
      <w:r>
        <w:t>Subcommittee Reports</w:t>
      </w:r>
      <w:r w:rsidR="009024F4">
        <w:t xml:space="preserve"> - </w:t>
      </w:r>
      <w:r w:rsidR="009024F4" w:rsidRPr="00EB727F">
        <w:rPr>
          <w:b/>
          <w:i/>
        </w:rPr>
        <w:t>Subcommittee Chair</w:t>
      </w:r>
    </w:p>
    <w:p w:rsidR="002E087C" w:rsidRDefault="002E087C" w:rsidP="002E087C">
      <w:pPr>
        <w:pStyle w:val="ListParagraph"/>
      </w:pPr>
    </w:p>
    <w:p w:rsidR="00487EFF" w:rsidRPr="002E087C" w:rsidRDefault="009024F4" w:rsidP="002E087C">
      <w:pPr>
        <w:pStyle w:val="ListParagraph"/>
        <w:numPr>
          <w:ilvl w:val="0"/>
          <w:numId w:val="3"/>
        </w:numPr>
      </w:pPr>
      <w:r>
        <w:t xml:space="preserve">Nomination of new members - </w:t>
      </w:r>
      <w:r w:rsidRPr="002E087C">
        <w:rPr>
          <w:b/>
          <w:i/>
        </w:rPr>
        <w:t>Current Committee Chair (summer meeting only)</w:t>
      </w:r>
    </w:p>
    <w:p w:rsidR="002E087C" w:rsidRDefault="002E087C" w:rsidP="002E087C">
      <w:pPr>
        <w:pStyle w:val="ListParagraph"/>
      </w:pPr>
    </w:p>
    <w:p w:rsidR="00487EFF" w:rsidRPr="002E087C" w:rsidRDefault="009024F4" w:rsidP="002E087C">
      <w:pPr>
        <w:pStyle w:val="ListParagraph"/>
        <w:numPr>
          <w:ilvl w:val="0"/>
          <w:numId w:val="3"/>
        </w:numPr>
      </w:pPr>
      <w:r>
        <w:t xml:space="preserve">Other specific business -  </w:t>
      </w:r>
      <w:r w:rsidRPr="002E087C">
        <w:rPr>
          <w:b/>
          <w:i/>
        </w:rPr>
        <w:t>Whomever</w:t>
      </w:r>
    </w:p>
    <w:p w:rsidR="002E087C" w:rsidRDefault="002E087C" w:rsidP="002E087C">
      <w:pPr>
        <w:pStyle w:val="ListParagraph"/>
      </w:pPr>
    </w:p>
    <w:p w:rsidR="00487EFF" w:rsidRDefault="009024F4" w:rsidP="002E087C">
      <w:pPr>
        <w:pStyle w:val="ListParagraph"/>
        <w:numPr>
          <w:ilvl w:val="0"/>
          <w:numId w:val="3"/>
        </w:numPr>
      </w:pPr>
      <w:r>
        <w:t xml:space="preserve">Other business - all </w:t>
      </w:r>
    </w:p>
    <w:p w:rsidR="00487EFF" w:rsidRDefault="00487EFF"/>
    <w:p w:rsidR="005A2A41" w:rsidRDefault="005A2A41" w:rsidP="005A2A41">
      <w:pPr>
        <w:rPr>
          <w:b/>
        </w:rPr>
      </w:pPr>
      <w:r>
        <w:rPr>
          <w:b/>
        </w:rPr>
        <w:t xml:space="preserve">II.4 </w:t>
      </w:r>
      <w:r>
        <w:rPr>
          <w:b/>
        </w:rPr>
        <w:tab/>
        <w:t>Chair Elect</w:t>
      </w:r>
    </w:p>
    <w:p w:rsidR="005A2A41" w:rsidRDefault="005A2A41"/>
    <w:p w:rsidR="00FF6C4F" w:rsidRDefault="00FF6C4F">
      <w:r>
        <w:t xml:space="preserve">The chair elect is </w:t>
      </w:r>
      <w:r w:rsidR="00750356">
        <w:t>responsible for learning the duties and functions of the chair during the year that they spend as chair elect.  The chair elect shall fill in for the chair in the event that the chair is unable to attend a conference.</w:t>
      </w:r>
    </w:p>
    <w:p w:rsidR="00FF6C4F" w:rsidRDefault="00FF6C4F"/>
    <w:p w:rsidR="00487EFF" w:rsidRDefault="005A2A41">
      <w:pPr>
        <w:rPr>
          <w:b/>
        </w:rPr>
      </w:pPr>
      <w:r>
        <w:rPr>
          <w:b/>
        </w:rPr>
        <w:lastRenderedPageBreak/>
        <w:t>II.5</w:t>
      </w:r>
      <w:r w:rsidR="009024F4">
        <w:rPr>
          <w:b/>
        </w:rPr>
        <w:tab/>
        <w:t>Treasurer</w:t>
      </w:r>
    </w:p>
    <w:p w:rsidR="00FF6C4F" w:rsidRDefault="00FF6C4F">
      <w:pPr>
        <w:jc w:val="both"/>
        <w:rPr>
          <w:b/>
        </w:rPr>
      </w:pPr>
    </w:p>
    <w:p w:rsidR="00487EFF" w:rsidRDefault="009024F4">
      <w:pPr>
        <w:jc w:val="both"/>
      </w:pPr>
      <w:r>
        <w:t>The treasurer is responsible for tracking and facilitating the</w:t>
      </w:r>
      <w:r w:rsidR="009007C3">
        <w:t xml:space="preserve"> financial transactions of the C</w:t>
      </w:r>
      <w:r>
        <w:t xml:space="preserve">ommittee. The profits from each conference go into an account maintained by AAS headquarters. It is the duty of the treasurer to ensure that this account is accurate. The treasurer reports the status </w:t>
      </w:r>
      <w:r w:rsidR="009007C3">
        <w:t>of the treasury account to the Committee at each C</w:t>
      </w:r>
      <w:r>
        <w:t xml:space="preserve">ommittee meeting. </w:t>
      </w:r>
    </w:p>
    <w:p w:rsidR="00487EFF" w:rsidRDefault="00487EFF">
      <w:pPr>
        <w:jc w:val="both"/>
      </w:pPr>
    </w:p>
    <w:p w:rsidR="00487EFF" w:rsidRDefault="009024F4">
      <w:pPr>
        <w:jc w:val="both"/>
      </w:pPr>
      <w:r>
        <w:t xml:space="preserve">At the end of each conference, the conference chairs pay all bills and then send any profit to AAS headquarters. This profit then is divided with AAS headquarters, with half going into the Committee's account. The actual money is held in escrow in the AAS bank account. The profit is available for paying deposits for future conferences, for the Breakwell Student Travel Award and </w:t>
      </w:r>
      <w:r w:rsidR="009007C3">
        <w:t>other expenses incurred by the C</w:t>
      </w:r>
      <w:r>
        <w:t xml:space="preserve">ommittee.  If a loss is incurred by a </w:t>
      </w:r>
      <w:proofErr w:type="gramStart"/>
      <w:r>
        <w:t>conference, that</w:t>
      </w:r>
      <w:proofErr w:type="gramEnd"/>
      <w:r>
        <w:t xml:space="preserve"> loss is divided with the AAS headquarters. In this event, the AAS hea</w:t>
      </w:r>
      <w:r w:rsidR="009007C3">
        <w:t>dquarters credits the C</w:t>
      </w:r>
      <w:r>
        <w:t xml:space="preserve">ommittee treasury with half of the loss. </w:t>
      </w:r>
    </w:p>
    <w:p w:rsidR="00487EFF" w:rsidRDefault="00487EFF">
      <w:pPr>
        <w:jc w:val="both"/>
      </w:pPr>
    </w:p>
    <w:p w:rsidR="00487EFF" w:rsidRPr="00C101BC" w:rsidRDefault="009024F4">
      <w:pPr>
        <w:jc w:val="both"/>
        <w:rPr>
          <w:rFonts w:ascii="Times New Roman" w:hAnsi="Times New Roman" w:cs="Times New Roman"/>
          <w:szCs w:val="24"/>
        </w:rPr>
      </w:pPr>
      <w:r w:rsidRPr="00C101BC">
        <w:rPr>
          <w:rFonts w:ascii="Times New Roman" w:hAnsi="Times New Roman" w:cs="Times New Roman"/>
          <w:szCs w:val="24"/>
        </w:rPr>
        <w:t>Some conference expenses are i</w:t>
      </w:r>
      <w:r w:rsidR="00750356" w:rsidRPr="00C101BC">
        <w:rPr>
          <w:rFonts w:ascii="Times New Roman" w:hAnsi="Times New Roman" w:cs="Times New Roman"/>
          <w:szCs w:val="24"/>
        </w:rPr>
        <w:t>ncurred by the AAS headquarters, e.g.</w:t>
      </w:r>
      <w:r w:rsidRPr="00C101BC">
        <w:rPr>
          <w:rFonts w:ascii="Times New Roman" w:hAnsi="Times New Roman" w:cs="Times New Roman"/>
          <w:szCs w:val="24"/>
        </w:rPr>
        <w:t xml:space="preserve"> postage for mailing announcements, deposits for conference facilities and a deposit for opening a conference checking account. </w:t>
      </w:r>
      <w:r w:rsidR="00750356" w:rsidRPr="00C101BC">
        <w:rPr>
          <w:rFonts w:ascii="Times New Roman" w:hAnsi="Times New Roman" w:cs="Times New Roman"/>
          <w:szCs w:val="24"/>
        </w:rPr>
        <w:t xml:space="preserve"> </w:t>
      </w:r>
      <w:r w:rsidRPr="00C101BC">
        <w:rPr>
          <w:rFonts w:ascii="Times New Roman" w:hAnsi="Times New Roman" w:cs="Times New Roman"/>
          <w:szCs w:val="24"/>
        </w:rPr>
        <w:t>These expenses are deducted from the treasury account. These expenses are tracked by the treasurer and pro</w:t>
      </w:r>
      <w:r w:rsidR="00750356" w:rsidRPr="00C101BC">
        <w:rPr>
          <w:rFonts w:ascii="Times New Roman" w:hAnsi="Times New Roman" w:cs="Times New Roman"/>
          <w:szCs w:val="24"/>
        </w:rPr>
        <w:t>vided to the conference chair</w:t>
      </w:r>
      <w:r w:rsidRPr="00C101BC">
        <w:rPr>
          <w:rFonts w:ascii="Times New Roman" w:hAnsi="Times New Roman" w:cs="Times New Roman"/>
          <w:szCs w:val="24"/>
        </w:rPr>
        <w:t xml:space="preserve"> as needed for them to includ</w:t>
      </w:r>
      <w:r w:rsidR="009007C3" w:rsidRPr="00C101BC">
        <w:rPr>
          <w:rFonts w:ascii="Times New Roman" w:hAnsi="Times New Roman" w:cs="Times New Roman"/>
          <w:szCs w:val="24"/>
        </w:rPr>
        <w:t>e in their final report to the C</w:t>
      </w:r>
      <w:r w:rsidRPr="00C101BC">
        <w:rPr>
          <w:rFonts w:ascii="Times New Roman" w:hAnsi="Times New Roman" w:cs="Times New Roman"/>
          <w:szCs w:val="24"/>
        </w:rPr>
        <w:t>ommittee.</w:t>
      </w:r>
    </w:p>
    <w:p w:rsidR="00D80445" w:rsidRPr="00C101BC" w:rsidRDefault="00D80445">
      <w:pPr>
        <w:jc w:val="both"/>
        <w:rPr>
          <w:rFonts w:ascii="Times New Roman" w:hAnsi="Times New Roman" w:cs="Times New Roman"/>
          <w:szCs w:val="24"/>
        </w:rPr>
      </w:pPr>
    </w:p>
    <w:p w:rsidR="00487EFF" w:rsidRDefault="009E045C">
      <w:pPr>
        <w:jc w:val="both"/>
      </w:pPr>
      <w:r>
        <w:rPr>
          <w:rFonts w:ascii="Times New Roman" w:hAnsi="Times New Roman" w:cs="Times New Roman"/>
          <w:color w:val="000000"/>
          <w:szCs w:val="24"/>
        </w:rPr>
        <w:t>T</w:t>
      </w:r>
      <w:r w:rsidR="00C101BC" w:rsidRPr="00C101BC">
        <w:rPr>
          <w:rFonts w:ascii="Times New Roman" w:hAnsi="Times New Roman" w:cs="Times New Roman"/>
          <w:color w:val="000000"/>
          <w:szCs w:val="24"/>
        </w:rPr>
        <w:t>here are various fixed charges that must be considered whe</w:t>
      </w:r>
      <w:r>
        <w:rPr>
          <w:rFonts w:ascii="Times New Roman" w:hAnsi="Times New Roman" w:cs="Times New Roman"/>
          <w:color w:val="000000"/>
          <w:szCs w:val="24"/>
        </w:rPr>
        <w:t xml:space="preserve">n planning a conference budget, but </w:t>
      </w:r>
      <w:r w:rsidR="00C101BC" w:rsidRPr="00C101BC">
        <w:rPr>
          <w:rFonts w:ascii="Times New Roman" w:hAnsi="Times New Roman" w:cs="Times New Roman"/>
          <w:color w:val="000000"/>
          <w:szCs w:val="24"/>
        </w:rPr>
        <w:t xml:space="preserve">these fixed costs vary from conference to conference. These include </w:t>
      </w:r>
      <w:r>
        <w:rPr>
          <w:rFonts w:ascii="Times New Roman" w:hAnsi="Times New Roman" w:cs="Times New Roman"/>
          <w:color w:val="000000"/>
          <w:szCs w:val="24"/>
        </w:rPr>
        <w:t xml:space="preserve">such items as </w:t>
      </w:r>
      <w:r w:rsidR="00C101BC" w:rsidRPr="00C101BC">
        <w:rPr>
          <w:rFonts w:ascii="Times New Roman" w:hAnsi="Times New Roman" w:cs="Times New Roman"/>
          <w:color w:val="000000"/>
          <w:szCs w:val="24"/>
        </w:rPr>
        <w:t>student travel award, best paper p</w:t>
      </w:r>
      <w:r>
        <w:rPr>
          <w:rFonts w:ascii="Times New Roman" w:hAnsi="Times New Roman" w:cs="Times New Roman"/>
          <w:color w:val="000000"/>
          <w:szCs w:val="24"/>
        </w:rPr>
        <w:t xml:space="preserve">age charges, committee web site </w:t>
      </w:r>
      <w:r w:rsidR="00C101BC" w:rsidRPr="00C101BC">
        <w:rPr>
          <w:rFonts w:ascii="Times New Roman" w:hAnsi="Times New Roman" w:cs="Times New Roman"/>
          <w:color w:val="000000"/>
          <w:szCs w:val="24"/>
        </w:rPr>
        <w:t>fee,</w:t>
      </w:r>
      <w:r>
        <w:rPr>
          <w:rFonts w:ascii="Times New Roman" w:hAnsi="Times New Roman" w:cs="Times New Roman"/>
          <w:color w:val="000000"/>
          <w:szCs w:val="24"/>
        </w:rPr>
        <w:t xml:space="preserve"> software maintenance,</w:t>
      </w:r>
      <w:r w:rsidR="00C101BC" w:rsidRPr="00C101BC">
        <w:rPr>
          <w:rFonts w:ascii="Times New Roman" w:hAnsi="Times New Roman" w:cs="Times New Roman"/>
          <w:color w:val="000000"/>
          <w:szCs w:val="24"/>
        </w:rPr>
        <w:t xml:space="preserve"> and </w:t>
      </w:r>
      <w:r>
        <w:rPr>
          <w:rFonts w:ascii="Times New Roman" w:hAnsi="Times New Roman" w:cs="Times New Roman"/>
          <w:color w:val="000000"/>
          <w:szCs w:val="24"/>
        </w:rPr>
        <w:t xml:space="preserve">equipment replacement.  In order to facilitate conference planning and level </w:t>
      </w:r>
      <w:r w:rsidR="006B6BA6">
        <w:rPr>
          <w:rFonts w:ascii="Times New Roman" w:hAnsi="Times New Roman" w:cs="Times New Roman"/>
          <w:color w:val="000000"/>
          <w:szCs w:val="24"/>
        </w:rPr>
        <w:t xml:space="preserve">the fixed costs, these </w:t>
      </w:r>
      <w:r>
        <w:rPr>
          <w:rFonts w:ascii="Times New Roman" w:hAnsi="Times New Roman" w:cs="Times New Roman"/>
          <w:color w:val="000000"/>
          <w:szCs w:val="24"/>
        </w:rPr>
        <w:t xml:space="preserve">items </w:t>
      </w:r>
      <w:r w:rsidR="006B6BA6">
        <w:rPr>
          <w:rFonts w:ascii="Times New Roman" w:hAnsi="Times New Roman" w:cs="Times New Roman"/>
          <w:color w:val="000000"/>
          <w:szCs w:val="24"/>
        </w:rPr>
        <w:t>specified by</w:t>
      </w:r>
      <w:r w:rsidR="00CD32F9">
        <w:rPr>
          <w:rFonts w:ascii="Times New Roman" w:hAnsi="Times New Roman" w:cs="Times New Roman"/>
          <w:color w:val="000000"/>
          <w:szCs w:val="24"/>
        </w:rPr>
        <w:t xml:space="preserve"> the Policies</w:t>
      </w:r>
      <w:r>
        <w:rPr>
          <w:rFonts w:ascii="Times New Roman" w:hAnsi="Times New Roman" w:cs="Times New Roman"/>
          <w:color w:val="000000"/>
          <w:szCs w:val="24"/>
        </w:rPr>
        <w:t xml:space="preserve"> and Procedures as expenses to the conference proceeds will be summed into a two y</w:t>
      </w:r>
      <w:r w:rsidR="00CD32F9">
        <w:rPr>
          <w:rFonts w:ascii="Times New Roman" w:hAnsi="Times New Roman" w:cs="Times New Roman"/>
          <w:color w:val="000000"/>
          <w:szCs w:val="24"/>
        </w:rPr>
        <w:t xml:space="preserve">ear budget and divided out as an allocation </w:t>
      </w:r>
      <w:r>
        <w:rPr>
          <w:rFonts w:ascii="Times New Roman" w:hAnsi="Times New Roman" w:cs="Times New Roman"/>
          <w:color w:val="000000"/>
          <w:szCs w:val="24"/>
        </w:rPr>
        <w:t>to each of the three conferences led by the Committee.  Following each conference, the allocation will be deducted from the conference proceeds prior to splitting of profits wit</w:t>
      </w:r>
      <w:r w:rsidR="00CD32F9">
        <w:rPr>
          <w:rFonts w:ascii="Times New Roman" w:hAnsi="Times New Roman" w:cs="Times New Roman"/>
          <w:color w:val="000000"/>
          <w:szCs w:val="24"/>
        </w:rPr>
        <w:t>h the AAS.  The t</w:t>
      </w:r>
      <w:r>
        <w:rPr>
          <w:rFonts w:ascii="Times New Roman" w:hAnsi="Times New Roman" w:cs="Times New Roman"/>
          <w:color w:val="000000"/>
          <w:szCs w:val="24"/>
        </w:rPr>
        <w:t xml:space="preserve">reasurer will keep a separate record of this escrow account, its income and expenses, and will periodically recommend adjustments in </w:t>
      </w:r>
      <w:proofErr w:type="gramStart"/>
      <w:r>
        <w:rPr>
          <w:rFonts w:ascii="Times New Roman" w:hAnsi="Times New Roman" w:cs="Times New Roman"/>
          <w:color w:val="000000"/>
          <w:szCs w:val="24"/>
        </w:rPr>
        <w:t>the per</w:t>
      </w:r>
      <w:proofErr w:type="gramEnd"/>
      <w:r>
        <w:rPr>
          <w:rFonts w:ascii="Times New Roman" w:hAnsi="Times New Roman" w:cs="Times New Roman"/>
          <w:color w:val="000000"/>
          <w:szCs w:val="24"/>
        </w:rPr>
        <w:t xml:space="preserve"> conference allocation in order to keep the escrow account balanced.</w:t>
      </w:r>
      <w:r w:rsidR="00C101BC" w:rsidRPr="00C101BC">
        <w:rPr>
          <w:rFonts w:ascii="Times New Roman" w:hAnsi="Times New Roman" w:cs="Times New Roman"/>
          <w:color w:val="000000"/>
          <w:szCs w:val="24"/>
        </w:rPr>
        <w:t xml:space="preserve"> </w:t>
      </w:r>
      <w:r w:rsidR="00C101BC" w:rsidRPr="00C101BC">
        <w:rPr>
          <w:rFonts w:ascii="Times New Roman" w:hAnsi="Times New Roman" w:cs="Times New Roman"/>
          <w:color w:val="000000"/>
          <w:szCs w:val="24"/>
        </w:rPr>
        <w:br/>
      </w:r>
    </w:p>
    <w:p w:rsidR="00487EFF" w:rsidRDefault="005A2A41">
      <w:pPr>
        <w:jc w:val="both"/>
        <w:rPr>
          <w:b/>
        </w:rPr>
      </w:pPr>
      <w:r>
        <w:rPr>
          <w:b/>
        </w:rPr>
        <w:t>II.6</w:t>
      </w:r>
      <w:r w:rsidR="009024F4">
        <w:rPr>
          <w:b/>
        </w:rPr>
        <w:tab/>
        <w:t>Secretary</w:t>
      </w:r>
    </w:p>
    <w:p w:rsidR="00FF6C4F" w:rsidRPr="00FF6C4F" w:rsidRDefault="00FF6C4F">
      <w:pPr>
        <w:jc w:val="both"/>
        <w:rPr>
          <w:b/>
        </w:rPr>
      </w:pPr>
    </w:p>
    <w:p w:rsidR="00487EFF" w:rsidRDefault="009024F4">
      <w:pPr>
        <w:jc w:val="both"/>
      </w:pPr>
      <w:r>
        <w:t>The secretary is responsible</w:t>
      </w:r>
      <w:r w:rsidR="009007C3">
        <w:t xml:space="preserve"> for taking minutes during the C</w:t>
      </w:r>
      <w:r>
        <w:t>ommittee meetings an</w:t>
      </w:r>
      <w:r w:rsidR="009007C3">
        <w:t>d providing the minutes to the C</w:t>
      </w:r>
      <w:r>
        <w:t xml:space="preserve">ommittee chair for dissemination before the next meeting. </w:t>
      </w:r>
    </w:p>
    <w:p w:rsidR="00BE667E" w:rsidRDefault="00BE667E">
      <w:pPr>
        <w:jc w:val="both"/>
      </w:pPr>
    </w:p>
    <w:p w:rsidR="00BE667E" w:rsidRDefault="00BE667E" w:rsidP="00BE667E">
      <w:pPr>
        <w:jc w:val="both"/>
        <w:rPr>
          <w:b/>
        </w:rPr>
      </w:pPr>
      <w:r>
        <w:rPr>
          <w:b/>
        </w:rPr>
        <w:t>II.7</w:t>
      </w:r>
      <w:r>
        <w:rPr>
          <w:b/>
        </w:rPr>
        <w:tab/>
        <w:t>Historian</w:t>
      </w:r>
    </w:p>
    <w:p w:rsidR="00BE667E" w:rsidRPr="00FF6C4F" w:rsidRDefault="00BE667E" w:rsidP="00BE667E">
      <w:pPr>
        <w:jc w:val="both"/>
        <w:rPr>
          <w:b/>
        </w:rPr>
      </w:pPr>
    </w:p>
    <w:p w:rsidR="00BE667E" w:rsidRDefault="00BE667E" w:rsidP="00BE667E">
      <w:pPr>
        <w:jc w:val="both"/>
      </w:pPr>
      <w:r>
        <w:t>The historian is responsible for developing and maintaining a database of information that facilitates the operatio</w:t>
      </w:r>
      <w:r w:rsidR="008F2FCB">
        <w:t>n of the Committee.  Applicable</w:t>
      </w:r>
      <w:r>
        <w:t xml:space="preserve"> data include but are not limited to:</w:t>
      </w:r>
    </w:p>
    <w:p w:rsidR="00BE667E" w:rsidRDefault="00BE667E" w:rsidP="00BE667E">
      <w:pPr>
        <w:jc w:val="both"/>
      </w:pPr>
    </w:p>
    <w:p w:rsidR="00BE667E" w:rsidRDefault="00BE667E" w:rsidP="00BE667E">
      <w:pPr>
        <w:pStyle w:val="ListParagraph"/>
        <w:numPr>
          <w:ilvl w:val="0"/>
          <w:numId w:val="4"/>
        </w:numPr>
        <w:jc w:val="both"/>
      </w:pPr>
      <w:r>
        <w:t>History of conference locations and chairs</w:t>
      </w:r>
    </w:p>
    <w:p w:rsidR="00BE667E" w:rsidRDefault="008F2FCB" w:rsidP="00BE667E">
      <w:pPr>
        <w:pStyle w:val="ListParagraph"/>
        <w:numPr>
          <w:ilvl w:val="0"/>
          <w:numId w:val="4"/>
        </w:numPr>
        <w:jc w:val="both"/>
      </w:pPr>
      <w:r>
        <w:lastRenderedPageBreak/>
        <w:t>History of C</w:t>
      </w:r>
      <w:r w:rsidR="00BE667E">
        <w:t>ommittee officers</w:t>
      </w:r>
    </w:p>
    <w:p w:rsidR="00BE667E" w:rsidRDefault="00BE667E" w:rsidP="00BE667E">
      <w:pPr>
        <w:pStyle w:val="ListParagraph"/>
        <w:numPr>
          <w:ilvl w:val="0"/>
          <w:numId w:val="4"/>
        </w:numPr>
        <w:jc w:val="both"/>
      </w:pPr>
      <w:r>
        <w:t>History of conference registration fees and attendance</w:t>
      </w:r>
    </w:p>
    <w:p w:rsidR="00487EFF" w:rsidRDefault="00487EFF">
      <w:pPr>
        <w:jc w:val="both"/>
      </w:pPr>
    </w:p>
    <w:p w:rsidR="00487EFF" w:rsidRDefault="009024F4">
      <w:pPr>
        <w:jc w:val="both"/>
        <w:rPr>
          <w:b/>
        </w:rPr>
      </w:pPr>
      <w:r>
        <w:rPr>
          <w:b/>
        </w:rPr>
        <w:t>III</w:t>
      </w:r>
      <w:r w:rsidR="00564DC8">
        <w:rPr>
          <w:b/>
        </w:rPr>
        <w:t>.</w:t>
      </w:r>
      <w:r>
        <w:rPr>
          <w:b/>
        </w:rPr>
        <w:t xml:space="preserve"> </w:t>
      </w:r>
      <w:r>
        <w:rPr>
          <w:b/>
        </w:rPr>
        <w:tab/>
        <w:t>Subcommittees</w:t>
      </w:r>
    </w:p>
    <w:p w:rsidR="00487EFF" w:rsidRDefault="00487EFF">
      <w:pPr>
        <w:jc w:val="both"/>
        <w:rPr>
          <w:b/>
        </w:rPr>
      </w:pPr>
    </w:p>
    <w:p w:rsidR="00564DC8" w:rsidRDefault="00564DC8">
      <w:pPr>
        <w:jc w:val="both"/>
      </w:pPr>
      <w:r>
        <w:t xml:space="preserve">There are 5 standing subcommittees that have primary responsibility for recurring Committee activities.  These are </w:t>
      </w:r>
    </w:p>
    <w:p w:rsidR="00564DC8" w:rsidRDefault="00564DC8">
      <w:pPr>
        <w:jc w:val="both"/>
      </w:pPr>
    </w:p>
    <w:p w:rsidR="00564DC8" w:rsidRDefault="00564DC8" w:rsidP="00564DC8">
      <w:pPr>
        <w:pStyle w:val="ListParagraph"/>
        <w:numPr>
          <w:ilvl w:val="0"/>
          <w:numId w:val="7"/>
        </w:numPr>
        <w:jc w:val="both"/>
      </w:pPr>
      <w:r>
        <w:t>Conference Administration Subcommittee</w:t>
      </w:r>
      <w:r w:rsidR="00F13E14">
        <w:t xml:space="preserve"> (CAS)</w:t>
      </w:r>
    </w:p>
    <w:p w:rsidR="00564DC8" w:rsidRDefault="00564DC8" w:rsidP="00564DC8">
      <w:pPr>
        <w:pStyle w:val="ListParagraph"/>
        <w:numPr>
          <w:ilvl w:val="0"/>
          <w:numId w:val="7"/>
        </w:numPr>
        <w:jc w:val="both"/>
      </w:pPr>
      <w:r>
        <w:t>Technical Administration Subcommittee</w:t>
      </w:r>
      <w:r w:rsidR="00F13E14">
        <w:t xml:space="preserve"> (TAS)</w:t>
      </w:r>
    </w:p>
    <w:p w:rsidR="00564DC8" w:rsidRDefault="00564DC8" w:rsidP="00564DC8">
      <w:pPr>
        <w:pStyle w:val="ListParagraph"/>
        <w:numPr>
          <w:ilvl w:val="0"/>
          <w:numId w:val="7"/>
        </w:numPr>
        <w:jc w:val="both"/>
      </w:pPr>
      <w:r>
        <w:t>Web Administration Subcommittee</w:t>
      </w:r>
      <w:r w:rsidR="00F13E14">
        <w:t xml:space="preserve"> (WAS)</w:t>
      </w:r>
    </w:p>
    <w:p w:rsidR="00564DC8" w:rsidRDefault="00564DC8" w:rsidP="00564DC8">
      <w:pPr>
        <w:pStyle w:val="ListParagraph"/>
        <w:numPr>
          <w:ilvl w:val="0"/>
          <w:numId w:val="7"/>
        </w:numPr>
        <w:jc w:val="both"/>
      </w:pPr>
      <w:r>
        <w:t>Breakwell Student Travel Award Subcommittee</w:t>
      </w:r>
    </w:p>
    <w:p w:rsidR="00564DC8" w:rsidRDefault="00564DC8" w:rsidP="00564DC8">
      <w:pPr>
        <w:pStyle w:val="ListParagraph"/>
        <w:numPr>
          <w:ilvl w:val="0"/>
          <w:numId w:val="7"/>
        </w:numPr>
        <w:jc w:val="both"/>
      </w:pPr>
      <w:r>
        <w:t>Brouwer Award Subcommittee</w:t>
      </w:r>
    </w:p>
    <w:p w:rsidR="00564DC8" w:rsidRDefault="00564DC8">
      <w:pPr>
        <w:jc w:val="both"/>
      </w:pPr>
    </w:p>
    <w:p w:rsidR="00564DC8" w:rsidRDefault="00564DC8">
      <w:pPr>
        <w:jc w:val="both"/>
      </w:pPr>
      <w:r>
        <w:t>The C</w:t>
      </w:r>
      <w:r w:rsidR="00EB727F">
        <w:t>ommittee c</w:t>
      </w:r>
      <w:r>
        <w:t>hair is responsible for appointing the subcommittee chairs.  The term of offi</w:t>
      </w:r>
      <w:r w:rsidR="00F13E14">
        <w:t xml:space="preserve">ce of the subcommittee chairs of the CAS, TAS, and WAS is 4 years and the term of office of the subcommittee chairs of the Breakwell and </w:t>
      </w:r>
      <w:proofErr w:type="spellStart"/>
      <w:r w:rsidR="00F13E14">
        <w:t>Brouwer</w:t>
      </w:r>
      <w:proofErr w:type="spellEnd"/>
      <w:r w:rsidR="00F13E14">
        <w:t xml:space="preserve"> Award subcommittees is 2 years.</w:t>
      </w:r>
    </w:p>
    <w:p w:rsidR="00F13E14" w:rsidRDefault="00F13E14">
      <w:pPr>
        <w:jc w:val="both"/>
      </w:pPr>
    </w:p>
    <w:p w:rsidR="00F13E14" w:rsidRDefault="00F13E14">
      <w:pPr>
        <w:jc w:val="both"/>
      </w:pPr>
      <w:r>
        <w:t>The term of office for a newly appointed subcommittee chairs will be automatically extended to allow them to complete the term of their respective office.</w:t>
      </w:r>
      <w:r w:rsidR="00A57528">
        <w:t xml:space="preserve">  Members whose terms of office have been extended do not count towards the total Committee membership of 30.</w:t>
      </w:r>
    </w:p>
    <w:p w:rsidR="00F13E14" w:rsidRDefault="00F13E14">
      <w:pPr>
        <w:jc w:val="both"/>
      </w:pPr>
    </w:p>
    <w:p w:rsidR="00487EFF" w:rsidRDefault="00F13E14" w:rsidP="00F13E14">
      <w:r>
        <w:t>Other transient s</w:t>
      </w:r>
      <w:r w:rsidR="009024F4">
        <w:t>ubcomm</w:t>
      </w:r>
      <w:r>
        <w:t>ittees are organized as needed.</w:t>
      </w:r>
    </w:p>
    <w:p w:rsidR="00487EFF" w:rsidRDefault="00487EFF">
      <w:pPr>
        <w:jc w:val="both"/>
        <w:rPr>
          <w:b/>
        </w:rPr>
      </w:pPr>
    </w:p>
    <w:p w:rsidR="00750356" w:rsidRDefault="00750356" w:rsidP="00750356">
      <w:pPr>
        <w:jc w:val="both"/>
        <w:rPr>
          <w:b/>
        </w:rPr>
      </w:pPr>
      <w:r>
        <w:rPr>
          <w:b/>
        </w:rPr>
        <w:t>III.1</w:t>
      </w:r>
      <w:r>
        <w:rPr>
          <w:b/>
        </w:rPr>
        <w:tab/>
        <w:t>Conference Administration Subcommittee</w:t>
      </w:r>
    </w:p>
    <w:p w:rsidR="00750356" w:rsidRDefault="00750356">
      <w:pPr>
        <w:jc w:val="both"/>
        <w:rPr>
          <w:b/>
        </w:rPr>
      </w:pPr>
    </w:p>
    <w:p w:rsidR="00750356" w:rsidRDefault="008F2FCB">
      <w:pPr>
        <w:jc w:val="both"/>
        <w:rPr>
          <w:b/>
        </w:rPr>
      </w:pPr>
      <w:r>
        <w:t xml:space="preserve">The Conference Administration Subcommittee (CAS) is responsible for all general aspects of the </w:t>
      </w:r>
      <w:r w:rsidR="00D773B8">
        <w:t xml:space="preserve">planning and execution of the </w:t>
      </w:r>
      <w:r>
        <w:t>conference</w:t>
      </w:r>
      <w:r w:rsidR="00D773B8">
        <w:t>s</w:t>
      </w:r>
      <w:r>
        <w:t xml:space="preserve">.  </w:t>
      </w:r>
      <w:r w:rsidR="00D773B8">
        <w:t xml:space="preserve">Broad direction is provided by the Committee through nomination of candidate sites and a preference vote following site feasibility research.  </w:t>
      </w:r>
      <w:r w:rsidR="003A1719">
        <w:t>Planning and execution of the conferences</w:t>
      </w:r>
      <w:r>
        <w:t xml:space="preserve"> is accomplished through the recruitment and training of General Chair</w:t>
      </w:r>
      <w:r w:rsidR="00D773B8">
        <w:t>s who carry out the detailed planning and execution.   The CAS provides support to the General Chair through the use of mentors and trainees.  Furthermore the CAS provides reach back support to the General Chair.</w:t>
      </w:r>
    </w:p>
    <w:p w:rsidR="00750356" w:rsidRDefault="00750356">
      <w:pPr>
        <w:jc w:val="both"/>
        <w:rPr>
          <w:b/>
        </w:rPr>
      </w:pPr>
    </w:p>
    <w:p w:rsidR="00750356" w:rsidRDefault="00750356" w:rsidP="00750356">
      <w:pPr>
        <w:jc w:val="both"/>
        <w:rPr>
          <w:b/>
        </w:rPr>
      </w:pPr>
      <w:r>
        <w:rPr>
          <w:b/>
        </w:rPr>
        <w:t>III.2</w:t>
      </w:r>
      <w:r>
        <w:rPr>
          <w:b/>
        </w:rPr>
        <w:tab/>
        <w:t>Technical Administration Subcommittee</w:t>
      </w:r>
    </w:p>
    <w:p w:rsidR="00750356" w:rsidRDefault="00750356">
      <w:pPr>
        <w:jc w:val="both"/>
        <w:rPr>
          <w:b/>
        </w:rPr>
      </w:pPr>
    </w:p>
    <w:p w:rsidR="008E72CF" w:rsidRDefault="008E72CF" w:rsidP="008E72CF">
      <w:pPr>
        <w:jc w:val="both"/>
        <w:rPr>
          <w:b/>
        </w:rPr>
      </w:pPr>
      <w:r>
        <w:t>The Technical Administration Subcommittee (TAS) is responsible for all technical aspects of the planning and execution of the conferences.  Planning and execution of the conferences is accomplished through the recruitment and training of Technical Chairs who carry out the detailed planning and execution.   The TAS provides support to the Technical Chair through the use of mentors and trainees.  Furthermore the TAS provides reach back support to the Technical Chair.</w:t>
      </w:r>
    </w:p>
    <w:p w:rsidR="008E72CF" w:rsidRDefault="008E72CF">
      <w:pPr>
        <w:jc w:val="both"/>
        <w:rPr>
          <w:b/>
        </w:rPr>
      </w:pPr>
    </w:p>
    <w:p w:rsidR="00750356" w:rsidRDefault="00750356" w:rsidP="00750356">
      <w:pPr>
        <w:jc w:val="both"/>
        <w:rPr>
          <w:b/>
        </w:rPr>
      </w:pPr>
      <w:r>
        <w:rPr>
          <w:b/>
        </w:rPr>
        <w:t>III.3</w:t>
      </w:r>
      <w:r>
        <w:rPr>
          <w:b/>
        </w:rPr>
        <w:tab/>
      </w:r>
      <w:r w:rsidR="008E72CF">
        <w:rPr>
          <w:b/>
        </w:rPr>
        <w:t>Web</w:t>
      </w:r>
      <w:r>
        <w:rPr>
          <w:b/>
        </w:rPr>
        <w:t xml:space="preserve"> Administration Subcommittee</w:t>
      </w:r>
    </w:p>
    <w:p w:rsidR="00750356" w:rsidRDefault="00750356">
      <w:pPr>
        <w:jc w:val="both"/>
        <w:rPr>
          <w:b/>
        </w:rPr>
      </w:pPr>
    </w:p>
    <w:p w:rsidR="00750356" w:rsidRDefault="00B21E4E">
      <w:pPr>
        <w:jc w:val="both"/>
        <w:rPr>
          <w:b/>
        </w:rPr>
      </w:pPr>
      <w:r>
        <w:t xml:space="preserve">The Web Administration Subcommittee (WAS) is responsible for all technical </w:t>
      </w:r>
      <w:r w:rsidR="00B03946">
        <w:t>aspects of the updating and maintenance of the Committee Web resources</w:t>
      </w:r>
      <w:r>
        <w:t xml:space="preserve">.  </w:t>
      </w:r>
    </w:p>
    <w:p w:rsidR="008E72CF" w:rsidRDefault="008E72CF">
      <w:pPr>
        <w:jc w:val="both"/>
        <w:rPr>
          <w:b/>
        </w:rPr>
      </w:pPr>
    </w:p>
    <w:p w:rsidR="00487EFF" w:rsidRDefault="00750356">
      <w:pPr>
        <w:jc w:val="both"/>
        <w:rPr>
          <w:b/>
        </w:rPr>
      </w:pPr>
      <w:r>
        <w:rPr>
          <w:b/>
        </w:rPr>
        <w:t>III.4</w:t>
      </w:r>
      <w:r w:rsidR="009024F4">
        <w:rPr>
          <w:b/>
        </w:rPr>
        <w:tab/>
        <w:t>Subcommittee for Administration of the John V. Breakwell Student Travel Award</w:t>
      </w:r>
    </w:p>
    <w:p w:rsidR="00487EFF" w:rsidRDefault="00487EFF">
      <w:pPr>
        <w:jc w:val="both"/>
      </w:pPr>
    </w:p>
    <w:p w:rsidR="00487EFF" w:rsidRDefault="009024F4">
      <w:pPr>
        <w:jc w:val="both"/>
      </w:pPr>
      <w:r>
        <w:t xml:space="preserve">The John V. Breakwell Student Travel Award is </w:t>
      </w:r>
      <w:r w:rsidR="008F102F">
        <w:t xml:space="preserve">limited to a maximum of $2000 </w:t>
      </w:r>
      <w:r>
        <w:t xml:space="preserve">for each conference.  The award provides </w:t>
      </w:r>
      <w:r w:rsidR="006E242D">
        <w:t xml:space="preserve">one or more awards up to </w:t>
      </w:r>
      <w:r>
        <w:t xml:space="preserve">a maximum of $1000 </w:t>
      </w:r>
      <w:r w:rsidR="006E242D">
        <w:t xml:space="preserve">per student </w:t>
      </w:r>
      <w:r>
        <w:t>to cover travel expenses for U.S. or Canadian students planning to attend and present papers at the AAS/AIAA Astrodynamics Specialist Conferences and the AAS/AIAA Space Flight Mechanics Meetings.</w:t>
      </w:r>
      <w:r w:rsidR="00E5254E">
        <w:t xml:space="preserve">  </w:t>
      </w:r>
      <w:r>
        <w:t>The complete text of the announcement of this award is provided at the Committee's Web site.</w:t>
      </w:r>
    </w:p>
    <w:p w:rsidR="00487EFF" w:rsidRDefault="00487EFF">
      <w:pPr>
        <w:jc w:val="both"/>
      </w:pPr>
    </w:p>
    <w:p w:rsidR="00487EFF" w:rsidRDefault="009024F4">
      <w:pPr>
        <w:jc w:val="both"/>
      </w:pPr>
      <w:r>
        <w:t>The cost of this award is a dire</w:t>
      </w:r>
      <w:r w:rsidR="00750356">
        <w:t>ct expense to the conference</w:t>
      </w:r>
      <w:r w:rsidR="00CD32F9">
        <w:t>s</w:t>
      </w:r>
      <w:r w:rsidR="00750356">
        <w:t xml:space="preserve"> </w:t>
      </w:r>
      <w:r w:rsidR="006B6BA6">
        <w:t>and is included in the per conference allocation.</w:t>
      </w:r>
      <w:r>
        <w:t xml:space="preserve"> </w:t>
      </w:r>
    </w:p>
    <w:p w:rsidR="00487EFF" w:rsidRDefault="00487EFF">
      <w:pPr>
        <w:jc w:val="both"/>
      </w:pPr>
    </w:p>
    <w:p w:rsidR="00487EFF" w:rsidRDefault="00761DE1">
      <w:pPr>
        <w:jc w:val="both"/>
        <w:rPr>
          <w:b/>
        </w:rPr>
      </w:pPr>
      <w:r>
        <w:rPr>
          <w:b/>
        </w:rPr>
        <w:t>III.5</w:t>
      </w:r>
      <w:r w:rsidR="009024F4">
        <w:rPr>
          <w:b/>
        </w:rPr>
        <w:tab/>
        <w:t>Subcommittee for Selection of R</w:t>
      </w:r>
      <w:r w:rsidR="00564DC8">
        <w:rPr>
          <w:b/>
        </w:rPr>
        <w:t>ecipients of Dirk Brouwer Award</w:t>
      </w:r>
    </w:p>
    <w:p w:rsidR="00487EFF" w:rsidRDefault="00487EFF">
      <w:pPr>
        <w:jc w:val="both"/>
      </w:pPr>
    </w:p>
    <w:p w:rsidR="00487EFF" w:rsidRPr="00F13E14" w:rsidRDefault="009024F4">
      <w:pPr>
        <w:jc w:val="both"/>
      </w:pPr>
      <w:r>
        <w:t>This subcommittee solicits nominations and manages the election of deserving Aerospace professionals for the AAS Dirk Brouwer award.</w:t>
      </w:r>
      <w:r w:rsidR="00813701">
        <w:t xml:space="preserve">  The Brouwer award is presented at the AAS/AIAA Space Flight Mechanics Meeting.  The recipient is invited to present a talk suitable for general audience and usually held as a Plenary Session.  It is customary to provide a complimentary conference registration to the recipient.  No other expenses or honorarium are provided to the recipient.</w:t>
      </w:r>
      <w:r>
        <w:t xml:space="preserve"> </w:t>
      </w:r>
    </w:p>
    <w:p w:rsidR="00F13E14" w:rsidRDefault="00F13E14">
      <w:pPr>
        <w:jc w:val="both"/>
        <w:rPr>
          <w:b/>
        </w:rPr>
      </w:pPr>
    </w:p>
    <w:p w:rsidR="00487EFF" w:rsidRDefault="009024F4">
      <w:pPr>
        <w:jc w:val="both"/>
        <w:rPr>
          <w:b/>
        </w:rPr>
      </w:pPr>
      <w:r>
        <w:rPr>
          <w:b/>
        </w:rPr>
        <w:t>IV</w:t>
      </w:r>
      <w:r w:rsidR="00564DC8">
        <w:rPr>
          <w:b/>
        </w:rPr>
        <w:t>.</w:t>
      </w:r>
      <w:r>
        <w:rPr>
          <w:b/>
        </w:rPr>
        <w:tab/>
        <w:t>Conferences</w:t>
      </w:r>
    </w:p>
    <w:p w:rsidR="00487EFF" w:rsidRDefault="00487EFF">
      <w:pPr>
        <w:jc w:val="both"/>
        <w:rPr>
          <w:b/>
        </w:rPr>
      </w:pPr>
    </w:p>
    <w:p w:rsidR="00487EFF" w:rsidRDefault="009007C3">
      <w:pPr>
        <w:jc w:val="both"/>
      </w:pPr>
      <w:r>
        <w:t>The C</w:t>
      </w:r>
      <w:r w:rsidR="009024F4">
        <w:t>ommittee admini</w:t>
      </w:r>
      <w:r w:rsidR="00761DE1">
        <w:t xml:space="preserve">sters two conferences per year – </w:t>
      </w:r>
      <w:r w:rsidR="009024F4">
        <w:t xml:space="preserve">the summer AAS/AIAA Astrodynamics Specialist Conference and the winter AAS/AIAA Space Flight Mechanics Meeting. These conferences are cosponsored by the AIAA. </w:t>
      </w:r>
    </w:p>
    <w:p w:rsidR="00487EFF" w:rsidRDefault="00487EFF">
      <w:pPr>
        <w:jc w:val="both"/>
      </w:pPr>
    </w:p>
    <w:p w:rsidR="00487EFF" w:rsidRDefault="009024F4">
      <w:pPr>
        <w:jc w:val="both"/>
      </w:pPr>
      <w:r>
        <w:t xml:space="preserve">The Astrodynamics Specialist Conference is normally held in mid to late August. However, it has been held as early as late July, and as late as early September. </w:t>
      </w:r>
      <w:r w:rsidR="00761DE1">
        <w:t xml:space="preserve"> </w:t>
      </w:r>
      <w:r>
        <w:t xml:space="preserve">In odd-numbered years the AAS Space Flight Mechanics Committee controls the administration and retains the proceeds from the conference. </w:t>
      </w:r>
      <w:r w:rsidR="00761DE1">
        <w:t xml:space="preserve"> </w:t>
      </w:r>
      <w:r>
        <w:t xml:space="preserve">In even-numbered years the AIAA administers and retains the profits from conference. </w:t>
      </w:r>
    </w:p>
    <w:p w:rsidR="00487EFF" w:rsidRDefault="00487EFF">
      <w:pPr>
        <w:jc w:val="both"/>
      </w:pPr>
    </w:p>
    <w:p w:rsidR="00487EFF" w:rsidRDefault="009024F4">
      <w:pPr>
        <w:jc w:val="both"/>
      </w:pPr>
      <w:r>
        <w:t xml:space="preserve">The Space Flight Mechanics Meeting is normally held in early to mid February. However, it has been held as early as late January. </w:t>
      </w:r>
      <w:r w:rsidR="00761DE1">
        <w:t xml:space="preserve"> </w:t>
      </w:r>
      <w:r>
        <w:t>In all years, the AAS Space Flight Mechanics Committee controls the adminis</w:t>
      </w:r>
      <w:r w:rsidR="00E36FE4">
        <w:t>tration and retains the profits</w:t>
      </w:r>
      <w:r>
        <w:t xml:space="preserve"> from the conference.</w:t>
      </w:r>
    </w:p>
    <w:p w:rsidR="00761DE1" w:rsidRDefault="00761DE1">
      <w:pPr>
        <w:jc w:val="both"/>
      </w:pPr>
    </w:p>
    <w:p w:rsidR="00487EFF" w:rsidRDefault="009024F4">
      <w:pPr>
        <w:jc w:val="both"/>
      </w:pPr>
      <w:r>
        <w:t xml:space="preserve">The locations of the conferences are rotated among the broad geographic areas of the West, Middle, and East parts of the North American Continent. </w:t>
      </w:r>
    </w:p>
    <w:p w:rsidR="00487EFF" w:rsidRDefault="00487EFF">
      <w:pPr>
        <w:jc w:val="both"/>
      </w:pPr>
    </w:p>
    <w:p w:rsidR="00487EFF" w:rsidRDefault="00761DE1">
      <w:pPr>
        <w:jc w:val="both"/>
        <w:rPr>
          <w:b/>
        </w:rPr>
      </w:pPr>
      <w:r>
        <w:rPr>
          <w:b/>
        </w:rPr>
        <w:lastRenderedPageBreak/>
        <w:t>IV.1</w:t>
      </w:r>
      <w:r>
        <w:rPr>
          <w:b/>
        </w:rPr>
        <w:tab/>
        <w:t>Conference Planning Materials</w:t>
      </w:r>
    </w:p>
    <w:p w:rsidR="00487EFF" w:rsidRDefault="00487EFF">
      <w:pPr>
        <w:jc w:val="both"/>
      </w:pPr>
    </w:p>
    <w:p w:rsidR="00487EFF" w:rsidRDefault="00761DE1">
      <w:pPr>
        <w:jc w:val="both"/>
      </w:pPr>
      <w:r>
        <w:t xml:space="preserve">Detailed manuals and tools have been developed to support the planning and execution of the conferences.  These are the responsibility of the CAS and TAS and are available on the </w:t>
      </w:r>
      <w:proofErr w:type="spellStart"/>
      <w:r>
        <w:t>Astro</w:t>
      </w:r>
      <w:proofErr w:type="spellEnd"/>
      <w:r>
        <w:t xml:space="preserve"> Wiki link from the Committee website. </w:t>
      </w:r>
    </w:p>
    <w:p w:rsidR="00761DE1" w:rsidRDefault="00761DE1">
      <w:pPr>
        <w:jc w:val="both"/>
        <w:rPr>
          <w:b/>
        </w:rPr>
      </w:pPr>
    </w:p>
    <w:p w:rsidR="00487EFF" w:rsidRPr="00D62FFE" w:rsidRDefault="009024F4">
      <w:pPr>
        <w:jc w:val="both"/>
        <w:rPr>
          <w:b/>
        </w:rPr>
      </w:pPr>
      <w:r w:rsidRPr="00D62FFE">
        <w:rPr>
          <w:b/>
        </w:rPr>
        <w:t>IV.2</w:t>
      </w:r>
      <w:r w:rsidR="000E46FF">
        <w:rPr>
          <w:b/>
        </w:rPr>
        <w:tab/>
      </w:r>
      <w:r w:rsidRPr="00D62FFE">
        <w:rPr>
          <w:b/>
        </w:rPr>
        <w:t>Best Paper Award</w:t>
      </w:r>
    </w:p>
    <w:p w:rsidR="00487EFF" w:rsidRDefault="00487EFF">
      <w:pPr>
        <w:jc w:val="both"/>
      </w:pPr>
    </w:p>
    <w:p w:rsidR="00487EFF" w:rsidRDefault="009024F4">
      <w:pPr>
        <w:jc w:val="both"/>
      </w:pPr>
      <w:r>
        <w:t>The Space Flight Mechanics Committee will pay page charges up to $1000 for publishing the conference best paper in the Journal of the Astronautical</w:t>
      </w:r>
      <w:r w:rsidR="00761DE1">
        <w:t xml:space="preserve"> Sciences. The award criteria are</w:t>
      </w:r>
      <w:r>
        <w:t xml:space="preserve"> as follows: </w:t>
      </w:r>
    </w:p>
    <w:p w:rsidR="00487EFF" w:rsidRDefault="00487EFF">
      <w:pPr>
        <w:jc w:val="both"/>
      </w:pPr>
    </w:p>
    <w:p w:rsidR="00487EFF" w:rsidRDefault="009024F4" w:rsidP="00761DE1">
      <w:pPr>
        <w:pStyle w:val="ListParagraph"/>
        <w:numPr>
          <w:ilvl w:val="0"/>
          <w:numId w:val="5"/>
        </w:numPr>
        <w:jc w:val="both"/>
      </w:pPr>
      <w:r>
        <w:t xml:space="preserve">The paper must have been selected as best paper </w:t>
      </w:r>
      <w:r w:rsidR="00E92199">
        <w:t xml:space="preserve">presented </w:t>
      </w:r>
      <w:r>
        <w:t xml:space="preserve">at the winter Space Flight Mechanics Meeting of any year, or the summer Astrodynamics Specialist Conference in the </w:t>
      </w:r>
      <w:r w:rsidR="00E92199">
        <w:t>odd</w:t>
      </w:r>
      <w:r>
        <w:t xml:space="preserve"> numbered years.</w:t>
      </w:r>
    </w:p>
    <w:p w:rsidR="00487EFF" w:rsidRDefault="009024F4" w:rsidP="00761DE1">
      <w:pPr>
        <w:pStyle w:val="ListParagraph"/>
        <w:numPr>
          <w:ilvl w:val="0"/>
          <w:numId w:val="5"/>
        </w:numPr>
        <w:jc w:val="both"/>
      </w:pPr>
      <w:r>
        <w:t xml:space="preserve">The paper must be accepted for publication in the Journal of the Astronautical Sciences.  </w:t>
      </w:r>
    </w:p>
    <w:p w:rsidR="00487EFF" w:rsidRDefault="00487EFF">
      <w:pPr>
        <w:jc w:val="both"/>
      </w:pPr>
    </w:p>
    <w:p w:rsidR="00487EFF" w:rsidRDefault="009024F4">
      <w:pPr>
        <w:jc w:val="both"/>
      </w:pPr>
      <w:r>
        <w:t xml:space="preserve">The cost of this award </w:t>
      </w:r>
      <w:bookmarkStart w:id="0" w:name="OLE_LINK1"/>
      <w:bookmarkStart w:id="1" w:name="OLE_LINK2"/>
      <w:r>
        <w:t>is a direct expense to the conference</w:t>
      </w:r>
      <w:r w:rsidR="006B6BA6">
        <w:t>s</w:t>
      </w:r>
      <w:r>
        <w:t xml:space="preserve"> </w:t>
      </w:r>
      <w:r w:rsidR="006B6BA6">
        <w:t>and is included in the per conference allocation.</w:t>
      </w:r>
      <w:r>
        <w:t xml:space="preserve"> </w:t>
      </w:r>
    </w:p>
    <w:bookmarkEnd w:id="0"/>
    <w:bookmarkEnd w:id="1"/>
    <w:p w:rsidR="00487EFF" w:rsidRDefault="00487EFF">
      <w:pPr>
        <w:jc w:val="both"/>
      </w:pPr>
    </w:p>
    <w:p w:rsidR="000E46FF" w:rsidRPr="000E46FF" w:rsidRDefault="000E46FF">
      <w:pPr>
        <w:jc w:val="both"/>
        <w:rPr>
          <w:b/>
        </w:rPr>
      </w:pPr>
      <w:r w:rsidRPr="000E46FF">
        <w:rPr>
          <w:b/>
        </w:rPr>
        <w:t>IV.3</w:t>
      </w:r>
      <w:r>
        <w:rPr>
          <w:b/>
        </w:rPr>
        <w:tab/>
      </w:r>
      <w:r w:rsidRPr="000E46FF">
        <w:rPr>
          <w:b/>
        </w:rPr>
        <w:t>Honorary Symposia</w:t>
      </w:r>
    </w:p>
    <w:p w:rsidR="000E46FF" w:rsidRDefault="000E46FF">
      <w:pPr>
        <w:jc w:val="both"/>
      </w:pPr>
    </w:p>
    <w:p w:rsidR="000E46FF" w:rsidRDefault="000E46FF" w:rsidP="000E46FF">
      <w:pPr>
        <w:rPr>
          <w:szCs w:val="24"/>
        </w:rPr>
      </w:pPr>
      <w:r>
        <w:rPr>
          <w:szCs w:val="24"/>
        </w:rPr>
        <w:t>Occasionally a leading aerospace personality is honored for lifetime achievements by holding a symposium. In some cases the organizers may approach the Committee to request some level of sponsorship. This document provides policy guidance for such a situation.</w:t>
      </w:r>
    </w:p>
    <w:p w:rsidR="00FA5E31" w:rsidRDefault="00FA5E31" w:rsidP="00FA5E31">
      <w:pPr>
        <w:pStyle w:val="ListParagraph"/>
        <w:spacing w:after="200" w:line="276" w:lineRule="auto"/>
        <w:ind w:left="0"/>
        <w:rPr>
          <w:szCs w:val="24"/>
        </w:rPr>
      </w:pPr>
    </w:p>
    <w:p w:rsidR="00FA5E31" w:rsidRDefault="000E46FF" w:rsidP="00FA5E31">
      <w:pPr>
        <w:pStyle w:val="ListParagraph"/>
        <w:numPr>
          <w:ilvl w:val="0"/>
          <w:numId w:val="11"/>
        </w:numPr>
        <w:spacing w:after="200" w:line="276" w:lineRule="auto"/>
        <w:rPr>
          <w:szCs w:val="24"/>
        </w:rPr>
      </w:pPr>
      <w:r>
        <w:rPr>
          <w:szCs w:val="24"/>
        </w:rPr>
        <w:t>Any request for sponsorship shall be submitted in writing to</w:t>
      </w:r>
      <w:r w:rsidR="00FA5E31">
        <w:rPr>
          <w:szCs w:val="24"/>
        </w:rPr>
        <w:t xml:space="preserve"> the Committee</w:t>
      </w:r>
      <w:r>
        <w:rPr>
          <w:szCs w:val="24"/>
        </w:rPr>
        <w:t xml:space="preserve"> by a member of the American Astronautical Society (AAS). The proposal shall be voted on by the </w:t>
      </w:r>
      <w:r w:rsidR="00FA5E31">
        <w:rPr>
          <w:szCs w:val="24"/>
        </w:rPr>
        <w:t xml:space="preserve">Committee </w:t>
      </w:r>
      <w:r>
        <w:rPr>
          <w:szCs w:val="24"/>
        </w:rPr>
        <w:t>and approved by a simple majority.</w:t>
      </w:r>
    </w:p>
    <w:p w:rsidR="00FA5E31" w:rsidRDefault="000E46FF" w:rsidP="00FA5E31">
      <w:pPr>
        <w:pStyle w:val="ListParagraph"/>
        <w:numPr>
          <w:ilvl w:val="0"/>
          <w:numId w:val="11"/>
        </w:numPr>
        <w:spacing w:after="200" w:line="276" w:lineRule="auto"/>
        <w:rPr>
          <w:szCs w:val="24"/>
        </w:rPr>
      </w:pPr>
      <w:r w:rsidRPr="00FA5E31">
        <w:rPr>
          <w:szCs w:val="24"/>
        </w:rPr>
        <w:t>The proposal shall contain the following material.</w:t>
      </w:r>
    </w:p>
    <w:p w:rsidR="00FA5E31" w:rsidRDefault="000E46FF" w:rsidP="00FA5E31">
      <w:pPr>
        <w:pStyle w:val="ListParagraph"/>
        <w:numPr>
          <w:ilvl w:val="1"/>
          <w:numId w:val="11"/>
        </w:numPr>
        <w:spacing w:after="200" w:line="276" w:lineRule="auto"/>
        <w:rPr>
          <w:szCs w:val="24"/>
        </w:rPr>
      </w:pPr>
      <w:r w:rsidRPr="00FA5E31">
        <w:rPr>
          <w:szCs w:val="24"/>
        </w:rPr>
        <w:t>Vitae of honoree</w:t>
      </w:r>
    </w:p>
    <w:p w:rsidR="00FA5E31" w:rsidRDefault="000E46FF" w:rsidP="00FA5E31">
      <w:pPr>
        <w:pStyle w:val="ListParagraph"/>
        <w:numPr>
          <w:ilvl w:val="1"/>
          <w:numId w:val="11"/>
        </w:numPr>
        <w:spacing w:after="200" w:line="276" w:lineRule="auto"/>
        <w:rPr>
          <w:szCs w:val="24"/>
        </w:rPr>
      </w:pPr>
      <w:r w:rsidRPr="00FA5E31">
        <w:rPr>
          <w:szCs w:val="24"/>
        </w:rPr>
        <w:t>Justification for honoring the individual</w:t>
      </w:r>
    </w:p>
    <w:p w:rsidR="00FA5E31" w:rsidRDefault="000E46FF" w:rsidP="00FA5E31">
      <w:pPr>
        <w:pStyle w:val="ListParagraph"/>
        <w:numPr>
          <w:ilvl w:val="1"/>
          <w:numId w:val="11"/>
        </w:numPr>
        <w:spacing w:after="200" w:line="276" w:lineRule="auto"/>
        <w:rPr>
          <w:szCs w:val="24"/>
        </w:rPr>
      </w:pPr>
      <w:r w:rsidRPr="00FA5E31">
        <w:rPr>
          <w:szCs w:val="24"/>
        </w:rPr>
        <w:t>Proposed date for symposium</w:t>
      </w:r>
    </w:p>
    <w:p w:rsidR="000E46FF" w:rsidRPr="00FA5E31" w:rsidRDefault="000E46FF" w:rsidP="00FA5E31">
      <w:pPr>
        <w:pStyle w:val="ListParagraph"/>
        <w:numPr>
          <w:ilvl w:val="0"/>
          <w:numId w:val="11"/>
        </w:numPr>
        <w:spacing w:after="200" w:line="276" w:lineRule="auto"/>
        <w:rPr>
          <w:szCs w:val="24"/>
        </w:rPr>
      </w:pPr>
      <w:r w:rsidRPr="00FA5E31">
        <w:rPr>
          <w:szCs w:val="24"/>
        </w:rPr>
        <w:t>The proposal should be submitted at least nine (9) months prior to the proposed symposium date; this lead time may be relaxed only in the event of extenuating circumstances related to the honoree. The proposed date should not compete with the annual winter (February) Space Flight Mechanics and the summer (August) Astrodynamics Conferences. Ideally, the symposium should be approximately halfway between the Conferences.</w:t>
      </w:r>
    </w:p>
    <w:p w:rsidR="000E46FF" w:rsidRDefault="00FA5E31" w:rsidP="000E46FF">
      <w:pPr>
        <w:jc w:val="both"/>
      </w:pPr>
      <w:r>
        <w:rPr>
          <w:szCs w:val="24"/>
        </w:rPr>
        <w:t xml:space="preserve">Committee </w:t>
      </w:r>
      <w:r w:rsidR="000E46FF">
        <w:rPr>
          <w:szCs w:val="24"/>
        </w:rPr>
        <w:t xml:space="preserve">sponsorship may obligate the </w:t>
      </w:r>
      <w:r>
        <w:rPr>
          <w:szCs w:val="24"/>
        </w:rPr>
        <w:t xml:space="preserve">Committee </w:t>
      </w:r>
      <w:r w:rsidR="000E46FF">
        <w:rPr>
          <w:szCs w:val="24"/>
        </w:rPr>
        <w:t xml:space="preserve">to avail usage of the </w:t>
      </w:r>
      <w:r>
        <w:rPr>
          <w:szCs w:val="24"/>
        </w:rPr>
        <w:t xml:space="preserve">Committee </w:t>
      </w:r>
      <w:r w:rsidR="000E46FF">
        <w:rPr>
          <w:szCs w:val="24"/>
        </w:rPr>
        <w:t xml:space="preserve">web site for advertising, usage of the </w:t>
      </w:r>
      <w:r>
        <w:rPr>
          <w:szCs w:val="24"/>
        </w:rPr>
        <w:t xml:space="preserve">Committee </w:t>
      </w:r>
      <w:r w:rsidR="000E46FF">
        <w:rPr>
          <w:szCs w:val="24"/>
        </w:rPr>
        <w:t xml:space="preserve">web site for registration, usage of the </w:t>
      </w:r>
      <w:r>
        <w:rPr>
          <w:szCs w:val="24"/>
        </w:rPr>
        <w:lastRenderedPageBreak/>
        <w:t xml:space="preserve">Committee </w:t>
      </w:r>
      <w:r w:rsidR="000E46FF">
        <w:rPr>
          <w:szCs w:val="24"/>
        </w:rPr>
        <w:t xml:space="preserve">web site for abstract submittals, and usage of the </w:t>
      </w:r>
      <w:r>
        <w:rPr>
          <w:szCs w:val="24"/>
        </w:rPr>
        <w:t xml:space="preserve">Committee </w:t>
      </w:r>
      <w:proofErr w:type="spellStart"/>
      <w:r w:rsidR="000E46FF">
        <w:rPr>
          <w:szCs w:val="24"/>
        </w:rPr>
        <w:t>listserve</w:t>
      </w:r>
      <w:proofErr w:type="spellEnd"/>
      <w:r w:rsidR="000E46FF">
        <w:rPr>
          <w:szCs w:val="24"/>
        </w:rPr>
        <w:t xml:space="preserve"> mailing list for soliciting papers, as necessary. The </w:t>
      </w:r>
      <w:r>
        <w:rPr>
          <w:szCs w:val="24"/>
        </w:rPr>
        <w:t xml:space="preserve">Committee </w:t>
      </w:r>
      <w:r w:rsidR="000E46FF">
        <w:rPr>
          <w:szCs w:val="24"/>
        </w:rPr>
        <w:t>is not obliged to provide any manpower, hotel contract assistance, or financial backing.</w:t>
      </w:r>
    </w:p>
    <w:p w:rsidR="000E46FF" w:rsidRDefault="000E46FF">
      <w:pPr>
        <w:jc w:val="both"/>
      </w:pPr>
    </w:p>
    <w:p w:rsidR="000E46FF" w:rsidRPr="000E46FF" w:rsidRDefault="000E46FF">
      <w:pPr>
        <w:jc w:val="both"/>
        <w:rPr>
          <w:b/>
        </w:rPr>
      </w:pPr>
      <w:r>
        <w:rPr>
          <w:b/>
        </w:rPr>
        <w:t>IV.4</w:t>
      </w:r>
      <w:r>
        <w:rPr>
          <w:b/>
        </w:rPr>
        <w:tab/>
      </w:r>
      <w:r w:rsidRPr="000E46FF">
        <w:rPr>
          <w:b/>
        </w:rPr>
        <w:t>Short Course Offerings</w:t>
      </w:r>
    </w:p>
    <w:p w:rsidR="000E46FF" w:rsidRDefault="000E46FF">
      <w:pPr>
        <w:jc w:val="both"/>
      </w:pPr>
    </w:p>
    <w:p w:rsidR="000E46FF" w:rsidRDefault="000E46FF" w:rsidP="000E46FF">
      <w:pPr>
        <w:pStyle w:val="ListParagraph"/>
        <w:ind w:left="0"/>
        <w:rPr>
          <w:szCs w:val="24"/>
        </w:rPr>
      </w:pPr>
      <w:r>
        <w:rPr>
          <w:szCs w:val="24"/>
        </w:rPr>
        <w:t>Occasionally it may be appropriate to offer a short course in association with one of the conferences. We consider two cases.</w:t>
      </w:r>
    </w:p>
    <w:p w:rsidR="000E46FF" w:rsidRDefault="000E46FF" w:rsidP="000E46FF">
      <w:pPr>
        <w:pStyle w:val="ListParagraph"/>
        <w:ind w:left="0"/>
        <w:rPr>
          <w:szCs w:val="24"/>
        </w:rPr>
      </w:pPr>
    </w:p>
    <w:p w:rsidR="000E46FF" w:rsidRDefault="000E46FF" w:rsidP="000E46FF">
      <w:pPr>
        <w:pStyle w:val="ListParagraph"/>
        <w:ind w:left="0"/>
        <w:rPr>
          <w:szCs w:val="24"/>
        </w:rPr>
      </w:pPr>
      <w:r>
        <w:rPr>
          <w:szCs w:val="24"/>
        </w:rPr>
        <w:t>Case 1: Chairs of the conference may determine that a short course, workshop, etc., will enhance the success of the conference; in such a case, it is within the discretion of the Chairs to solicit the short course, arrange for its presentation, and assume all financial responsibility for the course as part of the conference budget and finances process.</w:t>
      </w:r>
    </w:p>
    <w:p w:rsidR="000E46FF" w:rsidRDefault="000E46FF" w:rsidP="000E46FF">
      <w:pPr>
        <w:pStyle w:val="ListParagraph"/>
        <w:ind w:left="0"/>
        <w:rPr>
          <w:szCs w:val="24"/>
        </w:rPr>
      </w:pPr>
    </w:p>
    <w:p w:rsidR="000E46FF" w:rsidRDefault="000E46FF" w:rsidP="000E46FF">
      <w:pPr>
        <w:pStyle w:val="ListParagraph"/>
        <w:ind w:left="0"/>
        <w:rPr>
          <w:szCs w:val="24"/>
        </w:rPr>
      </w:pPr>
      <w:r>
        <w:rPr>
          <w:szCs w:val="24"/>
        </w:rPr>
        <w:t>Case 2: Chairs may receive an unsolicited proposal for a short course; in this case the following guidelines apply.</w:t>
      </w:r>
    </w:p>
    <w:p w:rsidR="000E46FF" w:rsidRDefault="000E46FF" w:rsidP="000E46FF">
      <w:pPr>
        <w:pStyle w:val="ListParagraph"/>
        <w:ind w:left="0"/>
        <w:rPr>
          <w:szCs w:val="24"/>
        </w:rPr>
      </w:pPr>
    </w:p>
    <w:p w:rsidR="00FA5E31" w:rsidRDefault="000E46FF" w:rsidP="00FA5E31">
      <w:pPr>
        <w:pStyle w:val="ListParagraph"/>
        <w:numPr>
          <w:ilvl w:val="0"/>
          <w:numId w:val="12"/>
        </w:numPr>
        <w:spacing w:after="200" w:line="276" w:lineRule="auto"/>
        <w:rPr>
          <w:szCs w:val="24"/>
        </w:rPr>
      </w:pPr>
      <w:r w:rsidRPr="00B65898">
        <w:rPr>
          <w:szCs w:val="24"/>
        </w:rPr>
        <w:t xml:space="preserve">The short course </w:t>
      </w:r>
      <w:r>
        <w:rPr>
          <w:szCs w:val="24"/>
        </w:rPr>
        <w:t>organizer(s)</w:t>
      </w:r>
      <w:r w:rsidRPr="00B65898">
        <w:rPr>
          <w:szCs w:val="24"/>
        </w:rPr>
        <w:t xml:space="preserve"> shall provide a written proposal to the AAS Conference Chairs</w:t>
      </w:r>
      <w:r>
        <w:rPr>
          <w:szCs w:val="24"/>
        </w:rPr>
        <w:t xml:space="preserve"> for consideration</w:t>
      </w:r>
      <w:r w:rsidRPr="00B65898">
        <w:rPr>
          <w:szCs w:val="24"/>
        </w:rPr>
        <w:t xml:space="preserve"> </w:t>
      </w:r>
      <w:r>
        <w:rPr>
          <w:szCs w:val="24"/>
        </w:rPr>
        <w:t>at least nine (</w:t>
      </w:r>
      <w:r w:rsidRPr="00B65898">
        <w:rPr>
          <w:szCs w:val="24"/>
        </w:rPr>
        <w:t>9</w:t>
      </w:r>
      <w:r>
        <w:rPr>
          <w:szCs w:val="24"/>
        </w:rPr>
        <w:t>)</w:t>
      </w:r>
      <w:r w:rsidRPr="00B65898">
        <w:rPr>
          <w:szCs w:val="24"/>
        </w:rPr>
        <w:t xml:space="preserve"> months in advance of the proposed short course date.</w:t>
      </w:r>
    </w:p>
    <w:p w:rsidR="00FA5E31" w:rsidRDefault="000E46FF" w:rsidP="00FA5E31">
      <w:pPr>
        <w:pStyle w:val="ListParagraph"/>
        <w:numPr>
          <w:ilvl w:val="0"/>
          <w:numId w:val="12"/>
        </w:numPr>
        <w:spacing w:after="200" w:line="276" w:lineRule="auto"/>
        <w:rPr>
          <w:szCs w:val="24"/>
        </w:rPr>
      </w:pPr>
      <w:r w:rsidRPr="00FA5E31">
        <w:rPr>
          <w:szCs w:val="24"/>
        </w:rPr>
        <w:t>The AAS Conference Chairs may accept or reject the proposal.</w:t>
      </w:r>
    </w:p>
    <w:p w:rsidR="00FA5E31" w:rsidRDefault="000E46FF" w:rsidP="00FA5E31">
      <w:pPr>
        <w:pStyle w:val="ListParagraph"/>
        <w:numPr>
          <w:ilvl w:val="0"/>
          <w:numId w:val="12"/>
        </w:numPr>
        <w:spacing w:after="200" w:line="276" w:lineRule="auto"/>
        <w:rPr>
          <w:szCs w:val="24"/>
        </w:rPr>
      </w:pPr>
      <w:r w:rsidRPr="00FA5E31">
        <w:rPr>
          <w:szCs w:val="24"/>
        </w:rPr>
        <w:t xml:space="preserve">If the AAS Conference Chairs accept, the proposal shall be briefed to the </w:t>
      </w:r>
      <w:r w:rsidR="00FA5E31" w:rsidRPr="00FA5E31">
        <w:rPr>
          <w:szCs w:val="24"/>
        </w:rPr>
        <w:t>Committee</w:t>
      </w:r>
      <w:r w:rsidRPr="00FA5E31">
        <w:rPr>
          <w:szCs w:val="24"/>
        </w:rPr>
        <w:t xml:space="preserve"> at least six (6) months prior to the proposed short course date. The </w:t>
      </w:r>
      <w:r w:rsidR="00FA5E31" w:rsidRPr="00FA5E31">
        <w:rPr>
          <w:szCs w:val="24"/>
        </w:rPr>
        <w:t>Committee</w:t>
      </w:r>
      <w:r w:rsidRPr="00FA5E31">
        <w:rPr>
          <w:szCs w:val="24"/>
        </w:rPr>
        <w:t xml:space="preserve"> can veto the recommendation of the chairs with a simple majority vote.</w:t>
      </w:r>
    </w:p>
    <w:p w:rsidR="000E46FF" w:rsidRPr="00FA5E31" w:rsidRDefault="000E46FF" w:rsidP="00FA5E31">
      <w:pPr>
        <w:pStyle w:val="ListParagraph"/>
        <w:numPr>
          <w:ilvl w:val="0"/>
          <w:numId w:val="12"/>
        </w:numPr>
        <w:spacing w:after="200" w:line="276" w:lineRule="auto"/>
        <w:rPr>
          <w:szCs w:val="24"/>
        </w:rPr>
      </w:pPr>
      <w:r w:rsidRPr="00FA5E31">
        <w:rPr>
          <w:szCs w:val="24"/>
        </w:rPr>
        <w:t xml:space="preserve">Assistance provided by the </w:t>
      </w:r>
      <w:r w:rsidR="00FA5E31" w:rsidRPr="00FA5E31">
        <w:rPr>
          <w:szCs w:val="24"/>
        </w:rPr>
        <w:t>Committee</w:t>
      </w:r>
      <w:r w:rsidRPr="00FA5E31">
        <w:rPr>
          <w:szCs w:val="24"/>
        </w:rPr>
        <w:t xml:space="preserve"> is limited to use of the </w:t>
      </w:r>
      <w:r w:rsidR="00FA5E31" w:rsidRPr="00FA5E31">
        <w:rPr>
          <w:szCs w:val="24"/>
        </w:rPr>
        <w:t>Committee</w:t>
      </w:r>
      <w:r w:rsidRPr="00FA5E31">
        <w:rPr>
          <w:szCs w:val="24"/>
        </w:rPr>
        <w:t xml:space="preserve"> web site for advertising the short course, and for short course registration and fee collection. The conference is not obliged to provide supporting manpower or incur any financial liability by offering the short course.</w:t>
      </w:r>
    </w:p>
    <w:p w:rsidR="000E46FF" w:rsidRDefault="000E46FF" w:rsidP="000E46FF">
      <w:pPr>
        <w:jc w:val="both"/>
      </w:pPr>
      <w:r>
        <w:rPr>
          <w:szCs w:val="24"/>
        </w:rPr>
        <w:t>The course organizer(s) may piggyback on the use of hotel facilities as long as no addition financial liability is placed on the conference.</w:t>
      </w:r>
    </w:p>
    <w:p w:rsidR="000E46FF" w:rsidRDefault="000E46FF">
      <w:pPr>
        <w:jc w:val="both"/>
      </w:pPr>
    </w:p>
    <w:p w:rsidR="00487EFF" w:rsidRDefault="009024F4">
      <w:pPr>
        <w:rPr>
          <w:b/>
        </w:rPr>
      </w:pPr>
      <w:r>
        <w:rPr>
          <w:b/>
        </w:rPr>
        <w:t>V</w:t>
      </w:r>
      <w:r w:rsidR="00564DC8">
        <w:rPr>
          <w:b/>
        </w:rPr>
        <w:t>.</w:t>
      </w:r>
      <w:r>
        <w:rPr>
          <w:b/>
        </w:rPr>
        <w:tab/>
        <w:t>Web Site</w:t>
      </w:r>
    </w:p>
    <w:p w:rsidR="00487EFF" w:rsidRDefault="00487EFF"/>
    <w:p w:rsidR="00487EFF" w:rsidRDefault="009007C3">
      <w:r>
        <w:t>The C</w:t>
      </w:r>
      <w:r w:rsidR="009024F4">
        <w:t>ommittee authorized the development of an AAS Space Flight Mechanics web site. The URL is "www.space-flight.org".</w:t>
      </w:r>
      <w:r w:rsidR="00E5254E">
        <w:t xml:space="preserve">  </w:t>
      </w:r>
      <w:r w:rsidR="009024F4">
        <w:t>The web site serves as the library of information c</w:t>
      </w:r>
      <w:r w:rsidR="00E5254E">
        <w:t xml:space="preserve">oncerning the activities of the </w:t>
      </w:r>
      <w:r w:rsidR="009024F4">
        <w:t xml:space="preserve">Committee. </w:t>
      </w:r>
    </w:p>
    <w:p w:rsidR="00487EFF" w:rsidRDefault="00487EFF"/>
    <w:p w:rsidR="006B6BA6" w:rsidRDefault="006B6BA6" w:rsidP="006B6BA6">
      <w:pPr>
        <w:jc w:val="both"/>
      </w:pPr>
      <w:r>
        <w:t xml:space="preserve">The cost of the web site is a direct expense to the conferences and is included in the per conference allocation. </w:t>
      </w:r>
    </w:p>
    <w:p w:rsidR="00487EFF" w:rsidRDefault="00487EFF">
      <w:pPr>
        <w:jc w:val="both"/>
      </w:pPr>
    </w:p>
    <w:sectPr w:rsidR="00487EFF" w:rsidSect="00712872">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26" w:rsidRDefault="00FD2326">
      <w:r>
        <w:separator/>
      </w:r>
    </w:p>
  </w:endnote>
  <w:endnote w:type="continuationSeparator" w:id="0">
    <w:p w:rsidR="00FD2326" w:rsidRDefault="00FD2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EFF" w:rsidRDefault="0060371B">
    <w:pPr>
      <w:pStyle w:val="Footer"/>
      <w:framePr w:wrap="auto" w:vAnchor="text" w:hAnchor="margin" w:xAlign="center" w:y="1"/>
      <w:rPr>
        <w:rStyle w:val="PageNumber"/>
      </w:rPr>
    </w:pPr>
    <w:r>
      <w:rPr>
        <w:rStyle w:val="PageNumber"/>
      </w:rPr>
      <w:fldChar w:fldCharType="begin"/>
    </w:r>
    <w:r w:rsidR="009024F4">
      <w:rPr>
        <w:rStyle w:val="PageNumber"/>
      </w:rPr>
      <w:instrText xml:space="preserve">PAGE  </w:instrText>
    </w:r>
    <w:r>
      <w:rPr>
        <w:rStyle w:val="PageNumber"/>
      </w:rPr>
      <w:fldChar w:fldCharType="separate"/>
    </w:r>
    <w:r w:rsidR="005912ED">
      <w:rPr>
        <w:rStyle w:val="PageNumber"/>
        <w:noProof/>
      </w:rPr>
      <w:t>3</w:t>
    </w:r>
    <w:r>
      <w:rPr>
        <w:rStyle w:val="PageNumber"/>
      </w:rPr>
      <w:fldChar w:fldCharType="end"/>
    </w:r>
  </w:p>
  <w:p w:rsidR="00487EFF" w:rsidRDefault="00487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26" w:rsidRDefault="00FD2326">
      <w:r>
        <w:separator/>
      </w:r>
    </w:p>
  </w:footnote>
  <w:footnote w:type="continuationSeparator" w:id="0">
    <w:p w:rsidR="00FD2326" w:rsidRDefault="00FD2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81EBC84"/>
    <w:lvl w:ilvl="0">
      <w:start w:val="1"/>
      <w:numFmt w:val="upperRoman"/>
      <w:pStyle w:val="Heading1"/>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3DF257D"/>
    <w:multiLevelType w:val="hybridMultilevel"/>
    <w:tmpl w:val="AC82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F56FC"/>
    <w:multiLevelType w:val="hybridMultilevel"/>
    <w:tmpl w:val="8B9E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D24FA"/>
    <w:multiLevelType w:val="hybridMultilevel"/>
    <w:tmpl w:val="B356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A0679"/>
    <w:multiLevelType w:val="hybridMultilevel"/>
    <w:tmpl w:val="1F8E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A584F"/>
    <w:multiLevelType w:val="hybridMultilevel"/>
    <w:tmpl w:val="31421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607EBE"/>
    <w:multiLevelType w:val="hybridMultilevel"/>
    <w:tmpl w:val="E75C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A4627"/>
    <w:multiLevelType w:val="hybridMultilevel"/>
    <w:tmpl w:val="18D89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1D3711"/>
    <w:multiLevelType w:val="hybridMultilevel"/>
    <w:tmpl w:val="84261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A22AC"/>
    <w:multiLevelType w:val="hybridMultilevel"/>
    <w:tmpl w:val="9836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C4511"/>
    <w:multiLevelType w:val="singleLevel"/>
    <w:tmpl w:val="459E4E9C"/>
    <w:lvl w:ilvl="0">
      <w:start w:val="1"/>
      <w:numFmt w:val="decimal"/>
      <w:lvlText w:val="%1."/>
      <w:legacy w:legacy="1" w:legacySpace="0" w:legacyIndent="720"/>
      <w:lvlJc w:val="left"/>
      <w:pPr>
        <w:ind w:left="720" w:hanging="720"/>
      </w:pPr>
      <w:rPr>
        <w:b w:val="0"/>
        <w:i w:val="0"/>
      </w:rPr>
    </w:lvl>
  </w:abstractNum>
  <w:abstractNum w:abstractNumId="11">
    <w:nsid w:val="6CFF53ED"/>
    <w:multiLevelType w:val="hybridMultilevel"/>
    <w:tmpl w:val="C0A86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3"/>
  </w:num>
  <w:num w:numId="4">
    <w:abstractNumId w:val="7"/>
  </w:num>
  <w:num w:numId="5">
    <w:abstractNumId w:val="1"/>
  </w:num>
  <w:num w:numId="6">
    <w:abstractNumId w:val="9"/>
  </w:num>
  <w:num w:numId="7">
    <w:abstractNumId w:val="5"/>
  </w:num>
  <w:num w:numId="8">
    <w:abstractNumId w:val="11"/>
  </w:num>
  <w:num w:numId="9">
    <w:abstractNumId w:val="8"/>
  </w:num>
  <w:num w:numId="10">
    <w:abstractNumId w:val="6"/>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87EFF"/>
    <w:rsid w:val="00074A99"/>
    <w:rsid w:val="00096C4E"/>
    <w:rsid w:val="000E46FF"/>
    <w:rsid w:val="001206B8"/>
    <w:rsid w:val="002750A8"/>
    <w:rsid w:val="002E087C"/>
    <w:rsid w:val="002E11B7"/>
    <w:rsid w:val="003234D2"/>
    <w:rsid w:val="00384633"/>
    <w:rsid w:val="003A1719"/>
    <w:rsid w:val="003B3F12"/>
    <w:rsid w:val="003B7EA6"/>
    <w:rsid w:val="00411A06"/>
    <w:rsid w:val="00437993"/>
    <w:rsid w:val="00487EFF"/>
    <w:rsid w:val="004D3603"/>
    <w:rsid w:val="00564DC8"/>
    <w:rsid w:val="005912ED"/>
    <w:rsid w:val="00596774"/>
    <w:rsid w:val="005A2A41"/>
    <w:rsid w:val="005D3556"/>
    <w:rsid w:val="0060371B"/>
    <w:rsid w:val="00642AD8"/>
    <w:rsid w:val="006444E6"/>
    <w:rsid w:val="006A026F"/>
    <w:rsid w:val="006B6BA6"/>
    <w:rsid w:val="006D50E7"/>
    <w:rsid w:val="006E242D"/>
    <w:rsid w:val="006F4FF1"/>
    <w:rsid w:val="00712872"/>
    <w:rsid w:val="007376DF"/>
    <w:rsid w:val="00750356"/>
    <w:rsid w:val="00761DE1"/>
    <w:rsid w:val="00806D98"/>
    <w:rsid w:val="00813701"/>
    <w:rsid w:val="00813C58"/>
    <w:rsid w:val="008D05F4"/>
    <w:rsid w:val="008E72CF"/>
    <w:rsid w:val="008F102F"/>
    <w:rsid w:val="008F2FCB"/>
    <w:rsid w:val="009007C3"/>
    <w:rsid w:val="009024F4"/>
    <w:rsid w:val="00995720"/>
    <w:rsid w:val="009E045C"/>
    <w:rsid w:val="009E48B9"/>
    <w:rsid w:val="009F7EBC"/>
    <w:rsid w:val="00A57528"/>
    <w:rsid w:val="00B03946"/>
    <w:rsid w:val="00B21E4E"/>
    <w:rsid w:val="00B739F7"/>
    <w:rsid w:val="00B90F85"/>
    <w:rsid w:val="00BE667E"/>
    <w:rsid w:val="00BE7750"/>
    <w:rsid w:val="00C101BC"/>
    <w:rsid w:val="00C82B3D"/>
    <w:rsid w:val="00C85FC2"/>
    <w:rsid w:val="00CB3EFB"/>
    <w:rsid w:val="00CD32F9"/>
    <w:rsid w:val="00D62FFE"/>
    <w:rsid w:val="00D773B8"/>
    <w:rsid w:val="00D80445"/>
    <w:rsid w:val="00E36FE4"/>
    <w:rsid w:val="00E5254E"/>
    <w:rsid w:val="00E63F5D"/>
    <w:rsid w:val="00E92199"/>
    <w:rsid w:val="00EB727F"/>
    <w:rsid w:val="00F01A60"/>
    <w:rsid w:val="00F13E14"/>
    <w:rsid w:val="00F36CC5"/>
    <w:rsid w:val="00FA5E31"/>
    <w:rsid w:val="00FD2326"/>
    <w:rsid w:val="00FF6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872"/>
    <w:rPr>
      <w:sz w:val="24"/>
    </w:rPr>
  </w:style>
  <w:style w:type="paragraph" w:styleId="Heading1">
    <w:name w:val="heading 1"/>
    <w:basedOn w:val="Normal"/>
    <w:next w:val="Normal"/>
    <w:qFormat/>
    <w:rsid w:val="00712872"/>
    <w:pPr>
      <w:keepNext/>
      <w:numPr>
        <w:numId w:val="1"/>
      </w:numPr>
      <w:tabs>
        <w:tab w:val="num" w:pos="720"/>
      </w:tabs>
      <w:spacing w:before="240" w:after="60"/>
      <w:outlineLvl w:val="0"/>
    </w:pPr>
    <w:rPr>
      <w:b/>
      <w:kern w:val="28"/>
      <w:sz w:val="28"/>
    </w:rPr>
  </w:style>
  <w:style w:type="paragraph" w:styleId="Heading2">
    <w:name w:val="heading 2"/>
    <w:basedOn w:val="Normal"/>
    <w:next w:val="Normal"/>
    <w:qFormat/>
    <w:rsid w:val="00712872"/>
    <w:pPr>
      <w:keepNext/>
      <w:spacing w:before="240" w:after="60"/>
      <w:outlineLvl w:val="1"/>
    </w:pPr>
    <w:rPr>
      <w:rFonts w:ascii="New York" w:hAnsi="New York"/>
      <w:b/>
    </w:rPr>
  </w:style>
  <w:style w:type="paragraph" w:styleId="Heading3">
    <w:name w:val="heading 3"/>
    <w:basedOn w:val="Normal"/>
    <w:next w:val="Normal"/>
    <w:qFormat/>
    <w:rsid w:val="00712872"/>
    <w:pPr>
      <w:keepNext/>
      <w:spacing w:before="240" w:after="60"/>
      <w:outlineLvl w:val="2"/>
    </w:pPr>
  </w:style>
  <w:style w:type="paragraph" w:styleId="Heading5">
    <w:name w:val="heading 5"/>
    <w:basedOn w:val="Normal"/>
    <w:next w:val="Normal"/>
    <w:qFormat/>
    <w:rsid w:val="00712872"/>
    <w:pPr>
      <w:keepNext/>
      <w:jc w:val="right"/>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872"/>
    <w:pPr>
      <w:tabs>
        <w:tab w:val="center" w:pos="4320"/>
        <w:tab w:val="right" w:pos="8640"/>
      </w:tabs>
    </w:pPr>
  </w:style>
  <w:style w:type="paragraph" w:styleId="Footer">
    <w:name w:val="footer"/>
    <w:basedOn w:val="Normal"/>
    <w:rsid w:val="00712872"/>
    <w:pPr>
      <w:tabs>
        <w:tab w:val="center" w:pos="4320"/>
        <w:tab w:val="right" w:pos="8640"/>
      </w:tabs>
    </w:pPr>
  </w:style>
  <w:style w:type="paragraph" w:styleId="Index1">
    <w:name w:val="index 1"/>
    <w:basedOn w:val="Normal"/>
    <w:next w:val="Normal"/>
    <w:rsid w:val="00712872"/>
    <w:pPr>
      <w:ind w:left="240" w:hanging="240"/>
    </w:pPr>
    <w:rPr>
      <w:sz w:val="20"/>
    </w:rPr>
  </w:style>
  <w:style w:type="paragraph" w:styleId="TOC1">
    <w:name w:val="toc 1"/>
    <w:basedOn w:val="Normal"/>
    <w:next w:val="Normal"/>
    <w:rsid w:val="00712872"/>
  </w:style>
  <w:style w:type="paragraph" w:styleId="Index2">
    <w:name w:val="index 2"/>
    <w:basedOn w:val="Normal"/>
    <w:next w:val="Normal"/>
    <w:rsid w:val="00712872"/>
    <w:pPr>
      <w:ind w:left="480" w:hanging="240"/>
    </w:pPr>
    <w:rPr>
      <w:sz w:val="20"/>
    </w:rPr>
  </w:style>
  <w:style w:type="paragraph" w:styleId="Index3">
    <w:name w:val="index 3"/>
    <w:basedOn w:val="Normal"/>
    <w:next w:val="Normal"/>
    <w:rsid w:val="00712872"/>
    <w:pPr>
      <w:ind w:left="720" w:hanging="240"/>
    </w:pPr>
    <w:rPr>
      <w:sz w:val="20"/>
    </w:rPr>
  </w:style>
  <w:style w:type="paragraph" w:styleId="Index4">
    <w:name w:val="index 4"/>
    <w:basedOn w:val="Normal"/>
    <w:next w:val="Normal"/>
    <w:rsid w:val="00712872"/>
    <w:pPr>
      <w:ind w:left="960" w:hanging="240"/>
    </w:pPr>
    <w:rPr>
      <w:sz w:val="20"/>
    </w:rPr>
  </w:style>
  <w:style w:type="paragraph" w:styleId="Index5">
    <w:name w:val="index 5"/>
    <w:basedOn w:val="Normal"/>
    <w:next w:val="Normal"/>
    <w:rsid w:val="00712872"/>
    <w:pPr>
      <w:ind w:left="1200" w:hanging="240"/>
    </w:pPr>
    <w:rPr>
      <w:sz w:val="20"/>
    </w:rPr>
  </w:style>
  <w:style w:type="paragraph" w:styleId="Index6">
    <w:name w:val="index 6"/>
    <w:basedOn w:val="Normal"/>
    <w:next w:val="Normal"/>
    <w:rsid w:val="00712872"/>
    <w:pPr>
      <w:ind w:left="1440" w:hanging="240"/>
    </w:pPr>
    <w:rPr>
      <w:sz w:val="20"/>
    </w:rPr>
  </w:style>
  <w:style w:type="paragraph" w:styleId="Index7">
    <w:name w:val="index 7"/>
    <w:basedOn w:val="Normal"/>
    <w:next w:val="Normal"/>
    <w:rsid w:val="00712872"/>
    <w:pPr>
      <w:ind w:left="1680" w:hanging="240"/>
    </w:pPr>
    <w:rPr>
      <w:sz w:val="20"/>
    </w:rPr>
  </w:style>
  <w:style w:type="paragraph" w:styleId="Index8">
    <w:name w:val="index 8"/>
    <w:basedOn w:val="Normal"/>
    <w:next w:val="Normal"/>
    <w:rsid w:val="00712872"/>
    <w:pPr>
      <w:ind w:left="1920" w:hanging="240"/>
    </w:pPr>
    <w:rPr>
      <w:sz w:val="20"/>
    </w:rPr>
  </w:style>
  <w:style w:type="paragraph" w:styleId="Index9">
    <w:name w:val="index 9"/>
    <w:basedOn w:val="Normal"/>
    <w:next w:val="Normal"/>
    <w:rsid w:val="00712872"/>
    <w:pPr>
      <w:ind w:left="2160" w:hanging="240"/>
    </w:pPr>
    <w:rPr>
      <w:sz w:val="20"/>
    </w:rPr>
  </w:style>
  <w:style w:type="paragraph" w:styleId="IndexHeading">
    <w:name w:val="index heading"/>
    <w:basedOn w:val="Normal"/>
    <w:next w:val="Index1"/>
    <w:rsid w:val="00712872"/>
    <w:rPr>
      <w:sz w:val="20"/>
    </w:rPr>
  </w:style>
  <w:style w:type="paragraph" w:styleId="DocumentMap">
    <w:name w:val="Document Map"/>
    <w:basedOn w:val="Normal"/>
    <w:rsid w:val="00712872"/>
    <w:pPr>
      <w:shd w:val="clear" w:color="auto" w:fill="000080"/>
    </w:pPr>
  </w:style>
  <w:style w:type="character" w:styleId="Hyperlink">
    <w:name w:val="Hyperlink"/>
    <w:basedOn w:val="DefaultParagraphFont"/>
    <w:rsid w:val="00712872"/>
    <w:rPr>
      <w:color w:val="0000FF"/>
      <w:u w:val="single"/>
    </w:rPr>
  </w:style>
  <w:style w:type="paragraph" w:styleId="PlainText">
    <w:name w:val="Plain Text"/>
    <w:basedOn w:val="Normal"/>
    <w:rsid w:val="00712872"/>
    <w:rPr>
      <w:sz w:val="20"/>
    </w:rPr>
  </w:style>
  <w:style w:type="character" w:styleId="PageNumber">
    <w:name w:val="page number"/>
    <w:basedOn w:val="DefaultParagraphFont"/>
    <w:rsid w:val="00712872"/>
  </w:style>
  <w:style w:type="paragraph" w:styleId="Title">
    <w:name w:val="Title"/>
    <w:basedOn w:val="Normal"/>
    <w:qFormat/>
    <w:rsid w:val="00712872"/>
    <w:pPr>
      <w:jc w:val="center"/>
    </w:pPr>
    <w:rPr>
      <w:b/>
    </w:rPr>
  </w:style>
  <w:style w:type="table" w:styleId="TableGrid">
    <w:name w:val="Table Grid"/>
    <w:basedOn w:val="TableNormal"/>
    <w:uiPriority w:val="59"/>
    <w:rsid w:val="004D3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3C58"/>
    <w:rPr>
      <w:rFonts w:ascii="Tahoma" w:hAnsi="Tahoma" w:cs="Tahoma"/>
      <w:sz w:val="16"/>
      <w:szCs w:val="16"/>
    </w:rPr>
  </w:style>
  <w:style w:type="character" w:customStyle="1" w:styleId="BalloonTextChar">
    <w:name w:val="Balloon Text Char"/>
    <w:basedOn w:val="DefaultParagraphFont"/>
    <w:link w:val="BalloonText"/>
    <w:uiPriority w:val="99"/>
    <w:semiHidden/>
    <w:rsid w:val="00813C58"/>
    <w:rPr>
      <w:rFonts w:ascii="Tahoma" w:hAnsi="Tahoma" w:cs="Tahoma"/>
      <w:sz w:val="16"/>
      <w:szCs w:val="16"/>
    </w:rPr>
  </w:style>
  <w:style w:type="paragraph" w:styleId="ListParagraph">
    <w:name w:val="List Paragraph"/>
    <w:basedOn w:val="Normal"/>
    <w:uiPriority w:val="34"/>
    <w:qFormat/>
    <w:rsid w:val="005A2A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15792</Characters>
  <Application>Microsoft Office Word</Application>
  <DocSecurity>0</DocSecurity>
  <Lines>131</Lines>
  <Paragraphs>37</Paragraphs>
  <ScaleCrop>false</ScaleCrop>
  <HeadingPairs>
    <vt:vector size="4" baseType="variant">
      <vt:variant>
        <vt:lpstr>Title</vt:lpstr>
      </vt:variant>
      <vt:variant>
        <vt:i4>1</vt:i4>
      </vt:variant>
      <vt:variant>
        <vt:lpstr>AAS Space Flight Mechanics Policies and Procedures Manual</vt:lpstr>
      </vt:variant>
      <vt:variant>
        <vt:i4>0</vt:i4>
      </vt:variant>
    </vt:vector>
  </HeadingPairs>
  <TitlesOfParts>
    <vt:vector size="1" baseType="lpstr">
      <vt:lpstr>AAS Space Flight Mechanics Policies and Procedures Manual</vt:lpstr>
    </vt:vector>
  </TitlesOfParts>
  <Company>Naval Research Laboratory</Company>
  <LinksUpToDate>false</LinksUpToDate>
  <CharactersWithSpaces>18525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 Space Flight Mechanics Policies and Procedures Manual</dc:title>
  <dc:subject/>
  <dc:creator>Shannon Coffey</dc:creator>
  <cp:keywords/>
  <dc:description/>
  <cp:lastModifiedBy>howell</cp:lastModifiedBy>
  <cp:revision>2</cp:revision>
  <cp:lastPrinted>2000-08-21T15:23:00Z</cp:lastPrinted>
  <dcterms:created xsi:type="dcterms:W3CDTF">2012-01-26T15:00:00Z</dcterms:created>
  <dcterms:modified xsi:type="dcterms:W3CDTF">2012-01-26T15:00:00Z</dcterms:modified>
</cp:coreProperties>
</file>